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10"/>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10"/>
          <w:rFonts w:ascii="黑体" w:hAnsi="黑体" w:eastAsia="黑体" w:cs="宋体"/>
          <w:sz w:val="44"/>
          <w:szCs w:val="44"/>
        </w:rPr>
      </w:pPr>
      <w:r>
        <w:rPr>
          <w:rStyle w:val="10"/>
          <w:rFonts w:hint="eastAsia" w:ascii="黑体" w:hAnsi="黑体" w:eastAsia="黑体" w:cs="宋体"/>
          <w:sz w:val="44"/>
          <w:szCs w:val="44"/>
        </w:rPr>
        <w:t>兴银理财【添利】理财产品</w:t>
      </w:r>
    </w:p>
    <w:p>
      <w:pPr>
        <w:adjustRightInd w:val="0"/>
        <w:spacing w:line="360" w:lineRule="auto"/>
        <w:jc w:val="center"/>
        <w:rPr>
          <w:rStyle w:val="10"/>
          <w:rFonts w:ascii="黑体" w:hAnsi="黑体" w:eastAsia="黑体" w:cs="宋体"/>
          <w:sz w:val="44"/>
          <w:szCs w:val="44"/>
        </w:rPr>
      </w:pPr>
      <w:r>
        <w:rPr>
          <w:rStyle w:val="10"/>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10"/>
          <w:rFonts w:ascii="宋体" w:hAnsi="宋体"/>
          <w:sz w:val="28"/>
          <w:szCs w:val="28"/>
        </w:rPr>
      </w:pPr>
      <w:bookmarkStart w:id="0" w:name="_Toc139991726"/>
      <w:bookmarkStart w:id="1" w:name="_Toc123112263"/>
      <w:bookmarkStart w:id="2" w:name="_Toc123112224"/>
      <w:bookmarkStart w:id="3" w:name="_Toc123701383"/>
      <w:bookmarkStart w:id="4" w:name="_Toc139992301"/>
      <w:r>
        <w:rPr>
          <w:rStyle w:val="10"/>
          <w:rFonts w:hint="eastAsia" w:ascii="宋体" w:hAnsi="宋体"/>
          <w:sz w:val="28"/>
          <w:szCs w:val="28"/>
        </w:rPr>
        <w:t>理财产品管理人：</w:t>
      </w:r>
      <w:bookmarkEnd w:id="0"/>
      <w:bookmarkEnd w:id="1"/>
      <w:bookmarkEnd w:id="2"/>
      <w:bookmarkEnd w:id="3"/>
      <w:bookmarkEnd w:id="4"/>
      <w:r>
        <w:rPr>
          <w:rStyle w:val="10"/>
          <w:rFonts w:hint="eastAsia" w:ascii="宋体" w:hAnsi="宋体"/>
          <w:sz w:val="28"/>
          <w:szCs w:val="28"/>
        </w:rPr>
        <w:t>兴银理财有限责任公司</w:t>
      </w:r>
    </w:p>
    <w:p>
      <w:pPr>
        <w:adjustRightInd w:val="0"/>
        <w:spacing w:line="360" w:lineRule="auto"/>
        <w:jc w:val="center"/>
        <w:rPr>
          <w:rStyle w:val="10"/>
          <w:rFonts w:ascii="黑体" w:hAnsi="黑体" w:eastAsia="黑体" w:cs="宋体"/>
          <w:sz w:val="28"/>
          <w:szCs w:val="28"/>
        </w:rPr>
      </w:pPr>
      <w:bookmarkStart w:id="5" w:name="_Toc139992302"/>
      <w:bookmarkStart w:id="6" w:name="_Toc139991727"/>
      <w:bookmarkStart w:id="7" w:name="_Toc123112264"/>
      <w:bookmarkStart w:id="8" w:name="_Toc123112225"/>
      <w:bookmarkStart w:id="9" w:name="_Toc123701384"/>
    </w:p>
    <w:bookmarkEnd w:id="5"/>
    <w:bookmarkEnd w:id="6"/>
    <w:bookmarkEnd w:id="7"/>
    <w:bookmarkEnd w:id="8"/>
    <w:bookmarkEnd w:id="9"/>
    <w:p>
      <w:pPr>
        <w:adjustRightInd w:val="0"/>
        <w:spacing w:line="360" w:lineRule="auto"/>
        <w:jc w:val="center"/>
        <w:rPr>
          <w:rStyle w:val="10"/>
          <w:rFonts w:ascii="黑体" w:hAnsi="黑体" w:eastAsia="黑体" w:cs="宋体"/>
          <w:sz w:val="28"/>
          <w:szCs w:val="28"/>
        </w:rPr>
      </w:pPr>
    </w:p>
    <w:p>
      <w:pPr>
        <w:adjustRightInd w:val="0"/>
        <w:spacing w:line="360" w:lineRule="auto"/>
        <w:jc w:val="center"/>
        <w:rPr>
          <w:rStyle w:val="10"/>
          <w:rFonts w:ascii="宋体" w:hAnsi="宋体"/>
          <w:sz w:val="28"/>
          <w:szCs w:val="28"/>
        </w:rPr>
      </w:pPr>
      <w:r>
        <w:rPr>
          <w:rStyle w:val="10"/>
          <w:rFonts w:hint="eastAsia" w:ascii="宋体" w:hAnsi="宋体"/>
          <w:sz w:val="28"/>
          <w:szCs w:val="28"/>
        </w:rPr>
        <w:t>日期</w:t>
      </w:r>
      <w:r>
        <w:rPr>
          <w:rStyle w:val="10"/>
          <w:rFonts w:ascii="宋体" w:hAnsi="宋体"/>
          <w:sz w:val="28"/>
          <w:szCs w:val="28"/>
        </w:rPr>
        <w:t>：</w:t>
      </w:r>
      <w:r>
        <w:rPr>
          <w:rStyle w:val="10"/>
          <w:rFonts w:hint="eastAsia" w:ascii="宋体" w:hAnsi="宋体"/>
          <w:sz w:val="28"/>
          <w:szCs w:val="28"/>
        </w:rPr>
        <w:t>【</w:t>
      </w:r>
      <w:r>
        <w:rPr>
          <w:rStyle w:val="10"/>
          <w:rFonts w:hint="eastAsia" w:ascii="宋体" w:hAnsi="宋体"/>
          <w:sz w:val="28"/>
          <w:szCs w:val="28"/>
          <w:lang w:val="en-US" w:eastAsia="zh-CN"/>
        </w:rPr>
        <w:t>2025</w:t>
      </w:r>
      <w:r>
        <w:rPr>
          <w:rStyle w:val="10"/>
          <w:rFonts w:hint="eastAsia" w:ascii="宋体" w:hAnsi="宋体"/>
          <w:sz w:val="28"/>
          <w:szCs w:val="28"/>
        </w:rPr>
        <w:t>】年【</w:t>
      </w:r>
      <w:r>
        <w:rPr>
          <w:rStyle w:val="10"/>
          <w:rFonts w:hint="eastAsia" w:ascii="宋体" w:hAnsi="宋体"/>
          <w:sz w:val="28"/>
          <w:szCs w:val="28"/>
          <w:lang w:val="en-US" w:eastAsia="zh-CN"/>
        </w:rPr>
        <w:t>3</w:t>
      </w:r>
      <w:r>
        <w:rPr>
          <w:rStyle w:val="10"/>
          <w:rFonts w:hint="eastAsia" w:ascii="宋体" w:hAnsi="宋体"/>
          <w:sz w:val="28"/>
          <w:szCs w:val="28"/>
        </w:rPr>
        <w:t>】月</w:t>
      </w:r>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理财产品过往业绩不代表其未来表现，不等于理财产品实际收益，投资须谨慎。</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关于理财产品信息披露的提示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在购买本产品后，投资者应随时关注该理财产品的信息披露情况，及时获取相关信息。</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pStyle w:val="6"/>
              <w:snapToGrid w:val="0"/>
              <w:spacing w:before="0" w:beforeAutospacing="0" w:after="0" w:afterAutospacing="0" w:line="360" w:lineRule="auto"/>
              <w:jc w:val="both"/>
              <w:rPr>
                <w:bCs/>
                <w:sz w:val="32"/>
              </w:rPr>
            </w:pPr>
            <w:r>
              <w:rPr>
                <w:rFonts w:hint="eastAsia" w:ascii="黑体" w:hAnsi="黑体" w:eastAsia="黑体"/>
                <w:bCs/>
                <w:sz w:val="18"/>
                <w:szCs w:val="18"/>
              </w:rPr>
              <w:t>投资者对本理财产品及销售文件的内容有任何疑问，请向产品管理人或销售机构咨询。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66"/>
      <w:bookmarkStart w:id="11" w:name="_Toc123701386"/>
      <w:bookmarkStart w:id="12" w:name="_Toc139991729"/>
      <w:bookmarkStart w:id="13" w:name="_Toc123112227"/>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7"/>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4"/>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4"/>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4"/>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w:t>
            </w:r>
            <w:r>
              <w:rPr>
                <w:rFonts w:hint="eastAsia" w:asciiTheme="minorEastAsia" w:hAnsiTheme="minorEastAsia"/>
                <w:sz w:val="18"/>
                <w:szCs w:val="18"/>
              </w:rPr>
              <w:t>兴银理财添利天天利</w:t>
            </w:r>
            <w:r>
              <w:rPr>
                <w:rFonts w:hint="eastAsia" w:asciiTheme="minorEastAsia" w:hAnsiTheme="minorEastAsia"/>
                <w:sz w:val="18"/>
                <w:szCs w:val="18"/>
                <w:lang w:val="en-US" w:eastAsia="zh-CN"/>
              </w:rPr>
              <w:t>48</w:t>
            </w:r>
            <w:r>
              <w:rPr>
                <w:rFonts w:hint="eastAsia" w:asciiTheme="minorEastAsia" w:hAnsiTheme="minorEastAsia"/>
                <w:sz w:val="18"/>
                <w:szCs w:val="18"/>
              </w:rPr>
              <w:t>号现金管理型理财产品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w:t>
            </w:r>
            <w:r>
              <w:rPr>
                <w:rFonts w:hint="eastAsia" w:asciiTheme="minorEastAsia" w:hAnsiTheme="minorEastAsia"/>
                <w:sz w:val="18"/>
                <w:szCs w:val="18"/>
              </w:rPr>
              <w:t>兴银添利天天利48号</w:t>
            </w:r>
            <w:r>
              <w:rPr>
                <w:rFonts w:hint="eastAsia" w:asciiTheme="minorEastAsia" w:hAnsiTheme="minorEastAsia"/>
                <w:sz w:val="18"/>
                <w:szCs w:val="18"/>
                <w:lang w:val="en-US" w:eastAsia="zh-CN"/>
              </w:rPr>
              <w:t>F</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F</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【Z7002025000120】注：投资者可依据理财产品登记编码在中国理财网查询产品信息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9TTL9480</w:t>
            </w:r>
            <w:r>
              <w:rPr>
                <w:rFonts w:ascii="宋体" w:hAnsi="宋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pPr>
              <w:spacing w:line="320" w:lineRule="exact"/>
              <w:jc w:val="left"/>
              <w:rPr>
                <w:rFonts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w:t>
            </w:r>
            <w:r>
              <w:rPr>
                <w:rFonts w:hint="eastAsia" w:ascii="宋体" w:hAnsi="宋体"/>
                <w:bCs/>
                <w:sz w:val="18"/>
                <w:szCs w:val="18"/>
              </w:rPr>
              <w:t>9TTL948</w:t>
            </w:r>
            <w:r>
              <w:rPr>
                <w:rFonts w:hint="eastAsia" w:ascii="宋体" w:hAnsi="宋体"/>
                <w:bCs/>
                <w:sz w:val="18"/>
                <w:szCs w:val="18"/>
                <w:lang w:val="en-US" w:eastAsia="zh-CN"/>
              </w:rPr>
              <w:t>F</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F</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4"/>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4"/>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r>
              <w:rPr>
                <w:rFonts w:ascii="宋体" w:hAnsi="宋体"/>
                <w:szCs w:val="18"/>
                <w:u w:val="single"/>
              </w:rPr>
              <w:t xml:space="preserve">　                     </w:t>
            </w:r>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11"/>
            <w:spacing w:line="360" w:lineRule="auto"/>
            <w:jc w:val="center"/>
          </w:pPr>
          <w:r>
            <w:rPr>
              <w:lang w:val="zh-CN"/>
            </w:rPr>
            <w:t>目录</w:t>
          </w:r>
        </w:p>
        <w:p>
          <w:pPr>
            <w:pStyle w:val="5"/>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5"/>
            <w:tabs>
              <w:tab w:val="right" w:leader="dot" w:pos="8306"/>
              <w:tab w:val="clear" w:pos="8296"/>
            </w:tabs>
          </w:pPr>
          <w:r>
            <w:fldChar w:fldCharType="begin"/>
          </w:r>
          <w:r>
            <w:instrText xml:space="preserve"> HYPERLINK \l "_Toc12429" </w:instrText>
          </w:r>
          <w:r>
            <w:fldChar w:fldCharType="separate"/>
          </w:r>
          <w:r>
            <w:t>第</w:t>
          </w:r>
          <w:r>
            <w:rPr>
              <w:rFonts w:hint="eastAsia"/>
            </w:rPr>
            <w:t xml:space="preserve">二条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r>
            <w:fldChar w:fldCharType="end"/>
          </w:r>
        </w:p>
        <w:p>
          <w:pPr>
            <w:pStyle w:val="5"/>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不可抗力</w:t>
          </w:r>
          <w:r>
            <w:tab/>
          </w:r>
          <w:r>
            <w:fldChar w:fldCharType="begin"/>
          </w:r>
          <w:r>
            <w:instrText xml:space="preserve"> PAGEREF _Toc706 \h </w:instrText>
          </w:r>
          <w:r>
            <w:fldChar w:fldCharType="separate"/>
          </w:r>
          <w:r>
            <w:t>10</w:t>
          </w:r>
          <w:r>
            <w:fldChar w:fldCharType="end"/>
          </w:r>
          <w:r>
            <w:fldChar w:fldCharType="end"/>
          </w:r>
        </w:p>
        <w:p>
          <w:pPr>
            <w:pStyle w:val="5"/>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5"/>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法律适用和争议解决</w:t>
          </w:r>
          <w:r>
            <w:tab/>
          </w:r>
          <w:r>
            <w:fldChar w:fldCharType="begin"/>
          </w:r>
          <w:r>
            <w:instrText xml:space="preserve"> PAGEREF _Toc29618 \h </w:instrText>
          </w:r>
          <w:r>
            <w:fldChar w:fldCharType="separate"/>
          </w:r>
          <w:r>
            <w:t>12</w:t>
          </w:r>
          <w:r>
            <w:fldChar w:fldCharType="end"/>
          </w:r>
          <w:r>
            <w:fldChar w:fldCharType="end"/>
          </w:r>
        </w:p>
        <w:p>
          <w:pPr>
            <w:pStyle w:val="5"/>
            <w:tabs>
              <w:tab w:val="right" w:leader="dot" w:pos="8306"/>
              <w:tab w:val="clear" w:pos="8296"/>
            </w:tabs>
          </w:pPr>
          <w:r>
            <w:fldChar w:fldCharType="begin"/>
          </w:r>
          <w:r>
            <w:instrText xml:space="preserve"> HYPERLINK \l "_Toc11943" </w:instrText>
          </w:r>
          <w:r>
            <w:fldChar w:fldCharType="separate"/>
          </w:r>
          <w:r>
            <w:rPr>
              <w:rFonts w:hint="eastAsia"/>
            </w:rPr>
            <w:t xml:space="preserve">第六条 </w:t>
          </w:r>
          <w:r>
            <w:t xml:space="preserve"> 协议的签署和</w:t>
          </w:r>
          <w:r>
            <w:rPr>
              <w:rFonts w:hint="eastAsia"/>
            </w:rPr>
            <w:t>效力</w:t>
          </w:r>
          <w:r>
            <w:tab/>
          </w:r>
          <w:r>
            <w:fldChar w:fldCharType="begin"/>
          </w:r>
          <w:r>
            <w:instrText xml:space="preserve"> PAGEREF _Toc11943 \h </w:instrText>
          </w:r>
          <w:r>
            <w:fldChar w:fldCharType="separate"/>
          </w:r>
          <w:r>
            <w:t>13</w:t>
          </w:r>
          <w:r>
            <w:fldChar w:fldCharType="end"/>
          </w:r>
          <w:r>
            <w:fldChar w:fldCharType="end"/>
          </w:r>
        </w:p>
        <w:p>
          <w:pPr>
            <w:pStyle w:val="5"/>
            <w:tabs>
              <w:tab w:val="right" w:leader="dot" w:pos="8306"/>
              <w:tab w:val="clear" w:pos="8296"/>
            </w:tabs>
          </w:pPr>
          <w:r>
            <w:fldChar w:fldCharType="begin"/>
          </w:r>
          <w:r>
            <w:instrText xml:space="preserve"> HYPERLINK \l "_Toc29352" </w:instrText>
          </w:r>
          <w:r>
            <w:fldChar w:fldCharType="separate"/>
          </w:r>
          <w:r>
            <w:rPr>
              <w:rFonts w:hint="eastAsia"/>
            </w:rPr>
            <w:t xml:space="preserve">第七条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30935"/>
      <w:bookmarkStart w:id="15" w:name="_Toc26897"/>
      <w:bookmarkStart w:id="16" w:name="_Toc23386"/>
      <w:bookmarkStart w:id="17" w:name="_Toc4867"/>
      <w:bookmarkStart w:id="18" w:name="_Toc141703880"/>
      <w:bookmarkStart w:id="19" w:name="_Toc8727"/>
      <w:bookmarkStart w:id="20" w:name="_Toc123112229"/>
      <w:bookmarkStart w:id="21" w:name="_Toc32639"/>
      <w:bookmarkStart w:id="22" w:name="_Toc123701389"/>
      <w:bookmarkStart w:id="23" w:name="_Toc4966"/>
      <w:bookmarkStart w:id="24" w:name="_Toc15517"/>
      <w:bookmarkStart w:id="25" w:name="_Toc139991730"/>
      <w:bookmarkStart w:id="26" w:name="_Toc29629"/>
      <w:bookmarkStart w:id="27" w:name="_Toc6306"/>
      <w:bookmarkStart w:id="28" w:name="_Toc123112268"/>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6617"/>
      <w:bookmarkStart w:id="33" w:name="_Toc2465"/>
      <w:bookmarkStart w:id="34" w:name="_Toc13020"/>
      <w:bookmarkStart w:id="35" w:name="_Toc3224"/>
      <w:bookmarkStart w:id="36" w:name="_Toc15067"/>
      <w:bookmarkStart w:id="37" w:name="_Toc19592"/>
      <w:bookmarkStart w:id="38" w:name="_Toc24860"/>
      <w:bookmarkStart w:id="39" w:name="_Toc22864"/>
      <w:bookmarkStart w:id="40" w:name="_Toc258829399"/>
      <w:bookmarkStart w:id="41" w:name="_Toc21301"/>
      <w:bookmarkStart w:id="42" w:name="_Toc819"/>
      <w:r>
        <w:rPr>
          <w:rFonts w:hint="eastAsia" w:ascii="Times New Roman"/>
          <w:color w:val="auto"/>
          <w:sz w:val="30"/>
        </w:rPr>
        <w:t>前言</w:t>
      </w:r>
      <w:bookmarkEnd w:id="29"/>
    </w:p>
    <w:p>
      <w:pPr>
        <w:pStyle w:val="12"/>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22708"/>
      <w:bookmarkStart w:id="48" w:name="_Toc545"/>
      <w:bookmarkStart w:id="49" w:name="_Toc74065740"/>
      <w:bookmarkStart w:id="50" w:name="_Toc733"/>
      <w:bookmarkStart w:id="51" w:name="_Toc24571"/>
      <w:bookmarkStart w:id="52" w:name="_Toc20627"/>
      <w:bookmarkStart w:id="53" w:name="_Toc18631"/>
      <w:bookmarkStart w:id="54" w:name="_Toc6149"/>
      <w:bookmarkStart w:id="55" w:name="_Toc6683"/>
      <w:bookmarkStart w:id="56" w:name="_Toc20318"/>
      <w:bookmarkStart w:id="57" w:name="_Toc13288"/>
      <w:bookmarkStart w:id="58" w:name="_Toc258829400"/>
      <w:bookmarkStart w:id="59" w:name="_Toc233456272"/>
      <w:r>
        <w:rPr>
          <w:rFonts w:hint="eastAsia" w:ascii="Times New Roman"/>
          <w:color w:val="auto"/>
          <w:sz w:val="30"/>
        </w:rPr>
        <w:t>第三条</w:t>
      </w:r>
      <w:r>
        <w:rPr>
          <w:rFonts w:ascii="Times New Roman"/>
          <w:color w:val="auto"/>
          <w:sz w:val="30"/>
        </w:rPr>
        <w:t xml:space="preserve">  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，本协议自投资者签名</w:t>
      </w:r>
      <w:r>
        <w:rPr>
          <w:rFonts w:ascii="黑体" w:hAnsi="黑体" w:eastAsia="黑体"/>
          <w:sz w:val="18"/>
          <w:szCs w:val="18"/>
        </w:rPr>
        <w:t>/盖章后则为签署。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63"/>
      <w:bookmarkEnd w:id="64"/>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8"/>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r>
              <w:rPr>
                <w:rFonts w:hint="eastAsia" w:ascii="宋体" w:hAnsi="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r>
              <w:rPr>
                <w:rFonts w:hint="eastAsia" w:ascii="宋体" w:hAnsi="宋体" w:cs="宋体"/>
                <w:sz w:val="18"/>
                <w:szCs w:val="18"/>
              </w:rPr>
              <w:t>【】类</w:t>
            </w:r>
            <w:r>
              <w:rPr>
                <w:rFonts w:ascii="宋体" w:hAnsi="宋体" w:cs="宋体"/>
                <w:sz w:val="18"/>
                <w:szCs w:val="18"/>
              </w:rPr>
              <w:t>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u w:val="single"/>
              </w:rPr>
              <w:t xml:space="preserve">      </w:t>
            </w:r>
            <w:r>
              <w:rPr>
                <w:rFonts w:hint="eastAsia" w:ascii="宋体" w:hAnsi="宋体"/>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u w:val="single"/>
              </w:rPr>
              <w:t xml:space="preserve">     </w:t>
            </w:r>
            <w:r>
              <w:rPr>
                <w:rFonts w:hint="eastAsia" w:ascii="宋体" w:hAnsi="宋体"/>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rPr>
                <w:rFonts w:ascii="宋体" w:hAnsi="宋体"/>
                <w:bCs/>
                <w:sz w:val="18"/>
                <w:szCs w:val="18"/>
              </w:rPr>
            </w:pPr>
            <w:r>
              <w:rPr>
                <w:rFonts w:ascii="宋体" w:hAnsi="宋体"/>
                <w:bCs/>
                <w:sz w:val="18"/>
                <w:szCs w:val="18"/>
              </w:rPr>
              <w:t>份额：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u w:val="single"/>
              </w:rPr>
              <w:t xml:space="preserve">        </w:t>
            </w:r>
            <w:r>
              <w:rPr>
                <w:rFonts w:hint="eastAsia" w:ascii="宋体" w:hAnsi="宋体"/>
                <w:bCs/>
                <w:sz w:val="18"/>
                <w:szCs w:val="18"/>
              </w:rPr>
              <w:t>份。</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r>
              <w:rPr>
                <w:rFonts w:hint="eastAsia" w:asciiTheme="minorEastAsia" w:hAnsiTheme="minorEastAsia"/>
                <w:sz w:val="18"/>
                <w:szCs w:val="18"/>
              </w:rPr>
              <w:t xml:space="preserve">【 </w:t>
            </w:r>
            <w:r>
              <w:rPr>
                <w:rFonts w:asciiTheme="minorEastAsia" w:hAnsiTheme="minorEastAsia"/>
                <w:sz w:val="18"/>
                <w:szCs w:val="18"/>
              </w:rPr>
              <w:t>】年</w:t>
            </w:r>
            <w:r>
              <w:rPr>
                <w:rFonts w:hint="eastAsia" w:asciiTheme="minorEastAsia" w:hAnsiTheme="minorEastAsia"/>
                <w:sz w:val="18"/>
                <w:szCs w:val="18"/>
              </w:rPr>
              <w:t>【 】月【 】日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widowControl/>
        <w:spacing w:before="156"/>
        <w:jc w:val="center"/>
        <w:rPr>
          <w:rFonts w:ascii="黑体" w:hAnsi="黑体" w:eastAsia="黑体"/>
          <w:b/>
          <w:sz w:val="28"/>
          <w:szCs w:val="28"/>
        </w:rPr>
      </w:pPr>
      <w:r>
        <w:rPr>
          <w:rFonts w:hint="eastAsia" w:ascii="黑体" w:hAnsi="黑体" w:eastAsia="黑体"/>
          <w:b/>
          <w:sz w:val="28"/>
          <w:szCs w:val="28"/>
        </w:rPr>
        <w:t>兴银理财【</w:t>
      </w:r>
      <w:r>
        <w:rPr>
          <w:rFonts w:hint="eastAsia" w:ascii="黑体" w:hAnsi="黑体" w:eastAsia="黑体"/>
          <w:b/>
          <w:sz w:val="28"/>
          <w:szCs w:val="28"/>
          <w:lang w:val="en-US" w:eastAsia="zh-CN"/>
        </w:rPr>
        <w:t>添利</w:t>
      </w:r>
      <w:r>
        <w:rPr>
          <w:rFonts w:hint="eastAsia" w:ascii="黑体" w:hAnsi="黑体" w:eastAsia="黑体"/>
          <w:b/>
          <w:sz w:val="28"/>
          <w:szCs w:val="28"/>
        </w:rPr>
        <w:t>】理财产品</w:t>
      </w:r>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7"/>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4"/>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4"/>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个人投资者适用</w:t>
            </w: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姓名</w:t>
            </w:r>
          </w:p>
        </w:tc>
        <w:tc>
          <w:tcPr>
            <w:tcW w:w="5061" w:type="dxa"/>
            <w:gridSpan w:val="3"/>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电子邮箱</w:t>
            </w:r>
          </w:p>
        </w:tc>
        <w:tc>
          <w:tcPr>
            <w:tcW w:w="2443" w:type="dxa"/>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Cs/>
                <w:sz w:val="18"/>
                <w:szCs w:val="18"/>
              </w:rPr>
            </w:pPr>
            <w:r>
              <w:rPr>
                <w:rFonts w:hint="eastAsia" w:ascii="宋体" w:hAnsi="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4"/>
              <w:pBdr>
                <w:bottom w:val="none" w:color="auto" w:sz="0" w:space="0"/>
              </w:pBdr>
              <w:spacing w:line="320" w:lineRule="exact"/>
              <w:rPr>
                <w:rFonts w:ascii="宋体" w:hAnsi="宋体"/>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hAnsi="宋体"/>
                <w:sz w:val="18"/>
                <w:szCs w:val="18"/>
              </w:rPr>
              <w:t>★</w:t>
            </w:r>
            <w:r>
              <w:rPr>
                <w:rFonts w:hint="eastAsia" w:ascii="宋体" w:hAnsi="宋体"/>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lang w:eastAsia="zh-CN"/>
              </w:rPr>
              <w:t>【</w:t>
            </w:r>
            <w:r>
              <w:rPr>
                <w:rFonts w:hint="eastAsia" w:ascii="宋体" w:hAnsi="宋体"/>
                <w:bCs/>
                <w:sz w:val="18"/>
                <w:szCs w:val="18"/>
                <w:lang w:val="en-US" w:eastAsia="zh-CN"/>
              </w:rPr>
              <w:t>威海银行股份有限公司</w:t>
            </w:r>
            <w:r>
              <w:rPr>
                <w:rFonts w:hint="eastAsia" w:ascii="宋体" w:hAnsi="宋体"/>
                <w:bCs/>
                <w:sz w:val="18"/>
                <w:szCs w:val="18"/>
                <w:lang w:eastAsia="zh-CN"/>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机构简介</w:t>
            </w:r>
          </w:p>
        </w:tc>
        <w:tc>
          <w:tcPr>
            <w:tcW w:w="5061" w:type="dxa"/>
            <w:gridSpan w:val="3"/>
            <w:tcBorders>
              <w:bottom w:val="single" w:color="auto" w:sz="12" w:space="0"/>
            </w:tcBorders>
            <w:shd w:val="solid" w:color="FFFFFF" w:fill="FFFFFF"/>
            <w:vAlign w:val="center"/>
          </w:tcPr>
          <w:p>
            <w:pPr>
              <w:pStyle w:val="12"/>
              <w:jc w:val="both"/>
            </w:pPr>
            <w:r>
              <w:rPr>
                <w:rFonts w:hint="eastAsia" w:asciiTheme="majorEastAsia" w:hAnsiTheme="majorEastAsia" w:eastAsiaTheme="majorEastAsia"/>
                <w:bCs/>
                <w:sz w:val="18"/>
                <w:szCs w:val="18"/>
                <w:lang w:eastAsia="zh-CN"/>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4"/>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4"/>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r>
              <w:rPr>
                <w:rFonts w:ascii="宋体" w:hAnsi="宋体"/>
                <w:u w:val="single"/>
              </w:rPr>
              <w:t xml:space="preserve">　                     </w:t>
            </w:r>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r>
        <w:rPr>
          <w:rFonts w:hint="eastAsia" w:ascii="宋体" w:hAnsi="宋体" w:cs="仿宋_GB2312"/>
          <w:kern w:val="0"/>
          <w:sz w:val="18"/>
          <w:szCs w:val="18"/>
          <w:lang w:val="en-US" w:eastAsia="zh-CN"/>
        </w:rPr>
        <w:t>5</w:t>
      </w:r>
      <w:r>
        <w:rPr>
          <w:rFonts w:hint="eastAsia" w:ascii="宋体" w:hAnsi="宋体" w:cs="仿宋_GB2312"/>
          <w:kern w:val="0"/>
          <w:sz w:val="18"/>
          <w:szCs w:val="18"/>
        </w:rPr>
        <w:t>】个风险等级</w:t>
      </w:r>
      <w:r>
        <w:rPr>
          <w:rFonts w:ascii="宋体" w:hAnsi="宋体" w:cs="仿宋_GB2312"/>
          <w:kern w:val="0"/>
          <w:sz w:val="18"/>
          <w:szCs w:val="18"/>
        </w:rPr>
        <w:t>：</w:t>
      </w:r>
      <w:r>
        <w:rPr>
          <w:rFonts w:hint="eastAsia" w:ascii="宋体" w:hAnsi="宋体" w:cs="仿宋_GB2312"/>
          <w:kern w:val="0"/>
          <w:sz w:val="18"/>
          <w:szCs w:val="18"/>
        </w:rPr>
        <w:t>【低风险、较低风险、中等风险、较高风险、高风险】；根据投资者在乙方评估的风险承受能力，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2"/>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（1）甲方为非机构投资者时，甲方购买乙方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（2）其他类型投资者的风险承受能力评估按销售机构的以下销售政策执行：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参照本条第（1）款非机构投资者要求执行；</w:t>
      </w:r>
    </w:p>
    <w:p>
      <w:pPr>
        <w:widowControl/>
        <w:spacing w:line="360" w:lineRule="auto"/>
        <w:jc w:val="left"/>
        <w:rPr>
          <w:rFonts w:asciiTheme="majorEastAsia" w:hAnsiTheme="majorEastAsia" w:eastAsiaTheme="majorEastAsia"/>
          <w:sz w:val="18"/>
          <w:szCs w:val="18"/>
        </w:rPr>
      </w:pPr>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其他：</w:t>
      </w:r>
      <w:r>
        <w:rPr>
          <w:rFonts w:hint="eastAsia" w:asciiTheme="majorEastAsia" w:hAnsiTheme="majorEastAsia" w:eastAsiaTheme="majorEastAsia"/>
          <w:sz w:val="18"/>
          <w:szCs w:val="18"/>
          <w:u w:val="single"/>
        </w:rPr>
        <w:t xml:space="preserve">                               。</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w:t>
      </w:r>
      <w:r>
        <w:rPr>
          <w:rFonts w:ascii="宋体" w:hAnsi="宋体" w:cs="仿宋_GB2312"/>
          <w:kern w:val="0"/>
          <w:sz w:val="18"/>
          <w:szCs w:val="18"/>
        </w:rPr>
        <w:t>.</w:t>
      </w:r>
      <w:r>
        <w:rPr>
          <w:rFonts w:hint="eastAsia" w:ascii="宋体" w:hAnsi="宋体" w:cs="仿宋_GB2312"/>
          <w:kern w:val="0"/>
          <w:sz w:val="18"/>
          <w:szCs w:val="18"/>
        </w:rPr>
        <w:t>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w:t>
      </w:r>
      <w:r>
        <w:rPr>
          <w:rFonts w:ascii="黑体" w:hAnsi="黑体" w:eastAsia="黑体" w:cs="仿宋_GB2312"/>
          <w:kern w:val="0"/>
          <w:sz w:val="18"/>
          <w:szCs w:val="18"/>
        </w:rPr>
        <w:t>《</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3</w:t>
      </w:r>
      <w:r>
        <w:rPr>
          <w:rFonts w:hint="eastAsia" w:ascii="黑体" w:hAnsi="黑体" w:eastAsia="黑体" w:cs="仿宋_GB2312"/>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8"/>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1</w:t>
            </w:r>
            <w:r>
              <w:rPr>
                <w:rFonts w:hint="eastAsia" w:ascii="黑体" w:hAnsi="黑体" w:eastAsia="黑体"/>
                <w:kern w:val="0"/>
                <w:sz w:val="18"/>
                <w:szCs w:val="18"/>
              </w:rPr>
              <w:t>.</w:t>
            </w:r>
            <w:r>
              <w:rPr>
                <w:rFonts w:ascii="黑体" w:hAnsi="黑体" w:eastAsia="黑体"/>
                <w:kern w:val="0"/>
                <w:sz w:val="18"/>
                <w:szCs w:val="18"/>
              </w:rPr>
              <w:t>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14" w:hRule="exact"/>
        </w:trPr>
        <w:tc>
          <w:tcPr>
            <w:tcW w:w="675" w:type="dxa"/>
            <w:vMerge w:val="restart"/>
            <w:vAlign w:val="center"/>
          </w:tcPr>
          <w:p>
            <w:pPr>
              <w:spacing w:line="360" w:lineRule="auto"/>
              <w:jc w:val="center"/>
              <w:rPr>
                <w:b/>
                <w:kern w:val="0"/>
                <w:sz w:val="18"/>
                <w:szCs w:val="18"/>
              </w:rPr>
            </w:pPr>
            <w:r>
              <w:rPr>
                <w:rFonts w:hint="eastAsia"/>
                <w:b/>
                <w:kern w:val="0"/>
                <w:sz w:val="18"/>
                <w:szCs w:val="18"/>
              </w:rPr>
              <w:t>甲方签署栏</w:t>
            </w:r>
          </w:p>
        </w:tc>
        <w:tc>
          <w:tcPr>
            <w:tcW w:w="851" w:type="dxa"/>
          </w:tcPr>
          <w:p>
            <w:pPr>
              <w:spacing w:line="360" w:lineRule="auto"/>
              <w:rPr>
                <w:kern w:val="0"/>
                <w:sz w:val="18"/>
                <w:szCs w:val="18"/>
              </w:rPr>
            </w:pPr>
            <w:r>
              <w:rPr>
                <w:rFonts w:hint="eastAsia"/>
                <w:kern w:val="0"/>
                <w:sz w:val="18"/>
                <w:szCs w:val="18"/>
              </w:rPr>
              <w:t>个人投资者适用</w:t>
            </w:r>
          </w:p>
        </w:tc>
        <w:tc>
          <w:tcPr>
            <w:tcW w:w="6998" w:type="dxa"/>
          </w:tcPr>
          <w:p>
            <w:pPr>
              <w:spacing w:line="360" w:lineRule="auto"/>
              <w:rPr>
                <w:kern w:val="0"/>
                <w:sz w:val="18"/>
                <w:szCs w:val="18"/>
              </w:rPr>
            </w:pPr>
            <w:r>
              <w:rPr>
                <w:rFonts w:hint="eastAsia"/>
                <w:kern w:val="0"/>
                <w:sz w:val="18"/>
                <w:szCs w:val="18"/>
              </w:rPr>
              <w:t>甲方（签名</w:t>
            </w:r>
            <w:r>
              <w:rPr>
                <w:kern w:val="0"/>
                <w:sz w:val="18"/>
                <w:szCs w:val="18"/>
              </w:rPr>
              <w:t>/</w:t>
            </w:r>
            <w:r>
              <w:rPr>
                <w:rFonts w:hint="eastAsia"/>
                <w:kern w:val="0"/>
                <w:sz w:val="18"/>
                <w:szCs w:val="18"/>
              </w:rPr>
              <w:t>线上确认）：</w:t>
            </w:r>
          </w:p>
          <w:p>
            <w:pPr>
              <w:spacing w:line="360" w:lineRule="auto"/>
              <w:rPr>
                <w:b/>
                <w:kern w:val="0"/>
                <w:sz w:val="18"/>
                <w:szCs w:val="18"/>
              </w:rPr>
            </w:pPr>
          </w:p>
          <w:p>
            <w:pPr>
              <w:spacing w:line="360" w:lineRule="auto"/>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b/>
                <w:kern w:val="0"/>
                <w:sz w:val="18"/>
                <w:szCs w:val="18"/>
              </w:rPr>
            </w:pPr>
          </w:p>
        </w:tc>
        <w:tc>
          <w:tcPr>
            <w:tcW w:w="851" w:type="dxa"/>
          </w:tcPr>
          <w:p>
            <w:pPr>
              <w:spacing w:line="360" w:lineRule="auto"/>
              <w:rPr>
                <w:kern w:val="0"/>
                <w:sz w:val="18"/>
                <w:szCs w:val="18"/>
              </w:rPr>
            </w:pPr>
            <w:r>
              <w:rPr>
                <w:rFonts w:hint="eastAsia"/>
                <w:kern w:val="0"/>
                <w:sz w:val="18"/>
                <w:szCs w:val="18"/>
              </w:rPr>
              <w:t>机构投资者适用</w:t>
            </w:r>
          </w:p>
        </w:tc>
        <w:tc>
          <w:tcPr>
            <w:tcW w:w="6998" w:type="dxa"/>
          </w:tcPr>
          <w:p>
            <w:pPr>
              <w:spacing w:line="360" w:lineRule="auto"/>
              <w:rPr>
                <w:rFonts w:cs="Arial"/>
                <w:kern w:val="0"/>
                <w:sz w:val="18"/>
                <w:szCs w:val="18"/>
              </w:rPr>
            </w:pPr>
            <w:r>
              <w:rPr>
                <w:rFonts w:hint="eastAsia"/>
                <w:kern w:val="0"/>
                <w:sz w:val="18"/>
                <w:szCs w:val="18"/>
              </w:rPr>
              <w:t>甲方</w:t>
            </w:r>
            <w:r>
              <w:rPr>
                <w:rFonts w:hint="eastAsia" w:cs="Arial"/>
                <w:kern w:val="0"/>
                <w:sz w:val="18"/>
                <w:szCs w:val="18"/>
              </w:rPr>
              <w:t>（盖章</w:t>
            </w:r>
            <w:r>
              <w:rPr>
                <w:kern w:val="0"/>
                <w:sz w:val="18"/>
                <w:szCs w:val="18"/>
              </w:rPr>
              <w:t>/</w:t>
            </w:r>
            <w:r>
              <w:rPr>
                <w:rFonts w:hint="eastAsia"/>
                <w:kern w:val="0"/>
                <w:sz w:val="18"/>
                <w:szCs w:val="18"/>
              </w:rPr>
              <w:t>线上确认</w:t>
            </w:r>
            <w:r>
              <w:rPr>
                <w:rFonts w:hint="eastAsia" w:cs="Arial"/>
                <w:kern w:val="0"/>
                <w:sz w:val="18"/>
                <w:szCs w:val="18"/>
              </w:rPr>
              <w:t>）：</w:t>
            </w:r>
          </w:p>
          <w:p>
            <w:pPr>
              <w:spacing w:line="360" w:lineRule="auto"/>
              <w:rPr>
                <w:rFonts w:cs="Arial"/>
                <w:kern w:val="0"/>
                <w:sz w:val="18"/>
                <w:szCs w:val="18"/>
              </w:rPr>
            </w:pPr>
          </w:p>
          <w:p>
            <w:pPr>
              <w:spacing w:line="360" w:lineRule="auto"/>
              <w:rPr>
                <w:b/>
                <w:kern w:val="0"/>
                <w:sz w:val="18"/>
                <w:szCs w:val="18"/>
              </w:rPr>
            </w:pPr>
            <w:r>
              <w:rPr>
                <w:rFonts w:hint="eastAsia" w:cs="Arial"/>
                <w:kern w:val="0"/>
                <w:sz w:val="18"/>
                <w:szCs w:val="18"/>
              </w:rPr>
              <w:t>甲方法定代表人或授权代理人（签名</w:t>
            </w:r>
            <w:r>
              <w:rPr>
                <w:kern w:val="0"/>
                <w:sz w:val="18"/>
                <w:szCs w:val="18"/>
              </w:rPr>
              <w:t>/</w:t>
            </w:r>
            <w:r>
              <w:rPr>
                <w:rFonts w:hint="eastAsia" w:cs="Arial"/>
                <w:kern w:val="0"/>
                <w:sz w:val="18"/>
                <w:szCs w:val="18"/>
              </w:rPr>
              <w:t>盖章</w:t>
            </w:r>
            <w:r>
              <w:rPr>
                <w:kern w:val="0"/>
                <w:sz w:val="18"/>
                <w:szCs w:val="18"/>
              </w:rPr>
              <w:t>/</w:t>
            </w:r>
            <w:r>
              <w:rPr>
                <w:rFonts w:hint="eastAsia"/>
                <w:kern w:val="0"/>
                <w:sz w:val="18"/>
                <w:szCs w:val="18"/>
              </w:rPr>
              <w:t>线上确认</w:t>
            </w:r>
            <w:r>
              <w:rPr>
                <w:rFonts w:hint="eastAsia" w:cs="Arial"/>
                <w:kern w:val="0"/>
                <w:sz w:val="18"/>
                <w:szCs w:val="18"/>
              </w:rPr>
              <w:t>）：</w:t>
            </w:r>
          </w:p>
          <w:p>
            <w:pPr>
              <w:spacing w:line="360" w:lineRule="auto"/>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pPr>
              <w:spacing w:line="360" w:lineRule="auto"/>
              <w:rPr>
                <w:b/>
                <w:kern w:val="0"/>
                <w:sz w:val="18"/>
                <w:szCs w:val="18"/>
              </w:rPr>
            </w:pPr>
          </w:p>
          <w:p>
            <w:pPr>
              <w:spacing w:line="360" w:lineRule="auto"/>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
      <w:bookmarkStart w:id="66" w:name="_GoBack"/>
      <w:bookmarkEnd w:id="66"/>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3"/>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b/>
      </w:rPr>
    </w:pPr>
    <w:r>
      <w:rPr>
        <w:rFonts w:hint="eastAsia"/>
        <w:b/>
      </w:rPr>
      <w:t>投资协议书</w:t>
    </w:r>
  </w:p>
  <w:p>
    <w:pPr>
      <w:pStyle w:val="4"/>
      <w:jc w:val="right"/>
      <w:rPr>
        <w:b/>
      </w:rPr>
    </w:pPr>
    <w:r>
      <w:rPr>
        <w:rFonts w:hint="eastAsia"/>
        <w:b/>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655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120" w:after="120" w:line="360" w:lineRule="auto"/>
      <w:outlineLvl w:val="0"/>
    </w:pPr>
    <w:rPr>
      <w:rFonts w:ascii="宋体"/>
      <w:b/>
      <w:color w:val="000000"/>
      <w:kern w:val="0"/>
      <w:sz w:val="24"/>
    </w:rPr>
  </w:style>
  <w:style w:type="character" w:default="1" w:styleId="9">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rPr>
  </w:style>
  <w:style w:type="paragraph" w:styleId="5">
    <w:name w:val="toc 1"/>
    <w:basedOn w:val="1"/>
    <w:next w:val="1"/>
    <w:qFormat/>
    <w:uiPriority w:val="39"/>
    <w:pPr>
      <w:tabs>
        <w:tab w:val="right" w:leader="dot" w:pos="8296"/>
      </w:tabs>
      <w:spacing w:line="360" w:lineRule="auto"/>
    </w:pPr>
  </w:style>
  <w:style w:type="paragraph" w:styleId="6">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22"/>
    <w:rPr>
      <w:b/>
      <w:bCs/>
    </w:rPr>
  </w:style>
  <w:style w:type="paragraph" w:customStyle="1" w:styleId="11">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paragraph" w:customStyle="1" w:styleId="12">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2025-07-14T09:11:02Z</dcterms:created>
  <dc:creator>Lenovo</dc:creator>
  <cp:lastModifiedBy>Lenovo</cp:lastModifiedBy>
  <dcterms:modified xsi:type="dcterms:W3CDTF">2025-07-14T09:12:46Z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B04D6F13B29E445EBF1F12DC6F58BB58</vt:lpwstr>
  </property>
</Properties>
</file>