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0" w:beforeAutospacing="0" w:after="0" w:afterAutospacing="0" w:line="360" w:lineRule="auto"/>
        <w:jc w:val="center"/>
        <w:outlineLvl w:val="0"/>
        <w:rPr>
          <w:rFonts w:hint="eastAsia" w:ascii="楷体" w:hAnsi="楷体" w:eastAsia="楷体"/>
          <w:b/>
          <w:sz w:val="36"/>
          <w:szCs w:val="36"/>
        </w:rPr>
      </w:pPr>
      <w:r>
        <w:rPr>
          <w:rFonts w:hint="eastAsia" w:ascii="楷体" w:hAnsi="楷体" w:eastAsia="楷体"/>
          <w:b/>
          <w:sz w:val="36"/>
          <w:szCs w:val="36"/>
        </w:rPr>
        <w:t>“苏银理财</w:t>
      </w:r>
      <w:r>
        <w:rPr>
          <w:rFonts w:hint="eastAsia" w:ascii="楷体" w:hAnsi="楷体" w:eastAsia="楷体"/>
          <w:b/>
          <w:sz w:val="36"/>
          <w:szCs w:val="36"/>
          <w:lang w:eastAsia="zh-CN"/>
        </w:rPr>
        <w:t>恒源6月定开18期</w:t>
      </w:r>
      <w:r>
        <w:rPr>
          <w:rFonts w:hint="eastAsia" w:ascii="楷体" w:hAnsi="楷体" w:eastAsia="楷体"/>
          <w:b/>
          <w:sz w:val="36"/>
          <w:szCs w:val="36"/>
        </w:rPr>
        <w:t>”理财产品说明书</w:t>
      </w:r>
    </w:p>
    <w:p>
      <w:pPr>
        <w:jc w:val="center"/>
        <w:rPr>
          <w:rFonts w:hint="eastAsia"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hint="eastAsia" w:ascii="楷体" w:hAnsi="楷体" w:eastAsia="楷体"/>
          <w:b/>
          <w:sz w:val="28"/>
          <w:szCs w:val="28"/>
          <w:lang w:val="en-US" w:eastAsia="zh-CN"/>
        </w:rPr>
      </w:pPr>
      <w:r>
        <w:rPr>
          <w:rFonts w:hint="eastAsia" w:ascii="楷体" w:hAnsi="楷体" w:eastAsia="楷体"/>
          <w:b/>
          <w:sz w:val="28"/>
          <w:szCs w:val="28"/>
        </w:rPr>
        <w:t>重要须知</w:t>
      </w:r>
    </w:p>
    <w:p>
      <w:pPr>
        <w:numPr>
          <w:ilvl w:val="0"/>
          <w:numId w:val="1"/>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投资者应充分认识投资风险，谨慎投资；本理财产品过往业绩不代表其未来表现，不等于理财产品实际收益，投资须谨慎；理财非存款、产品有风险、投资须谨慎。</w:t>
      </w:r>
      <w:bookmarkStart w:id="0" w:name="_GoBack"/>
      <w:bookmarkEnd w:id="0"/>
    </w:p>
    <w:p>
      <w:pPr>
        <w:numPr>
          <w:ilvl w:val="0"/>
          <w:numId w:val="1"/>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业绩比较基准为管理人对本产品所设定的投资目标，不代表投资者可能获得的实际收益，亦不构成苏银理财有限责任公司（以下简称“苏银理财”）对本理财产品的任何收益承诺。</w:t>
      </w:r>
    </w:p>
    <w:p>
      <w:pPr>
        <w:numPr>
          <w:ilvl w:val="0"/>
          <w:numId w:val="1"/>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1"/>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rPr>
        <w:t>、其他风险等。请仔细阅读《“苏银理财</w:t>
      </w:r>
      <w:r>
        <w:rPr>
          <w:rFonts w:hint="eastAsia" w:ascii="楷体" w:hAnsi="楷体" w:eastAsia="楷体"/>
          <w:sz w:val="24"/>
          <w:szCs w:val="24"/>
          <w:lang w:eastAsia="zh-CN"/>
        </w:rPr>
        <w:t>恒源6月定开18期</w:t>
      </w:r>
      <w:r>
        <w:rPr>
          <w:rFonts w:hint="eastAsia" w:ascii="楷体" w:hAnsi="楷体" w:eastAsia="楷体"/>
          <w:sz w:val="24"/>
          <w:szCs w:val="24"/>
        </w:rPr>
        <w:t>”理财产品风险揭示书》的“风险揭示”部分。</w:t>
      </w:r>
    </w:p>
    <w:p>
      <w:pPr>
        <w:numPr>
          <w:ilvl w:val="0"/>
          <w:numId w:val="1"/>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1"/>
        </w:numPr>
        <w:rPr>
          <w:rFonts w:ascii="楷体" w:hAnsi="楷体" w:eastAsia="楷体"/>
          <w:b/>
          <w:bCs/>
          <w:sz w:val="24"/>
          <w:szCs w:val="24"/>
          <w:highlight w:val="none"/>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rPr>
        <w:t>产品管理人将于</w:t>
      </w:r>
      <w:r>
        <w:rPr>
          <w:rFonts w:hint="eastAsia" w:ascii="楷体" w:hAnsi="楷体" w:eastAsia="楷体"/>
          <w:b/>
          <w:bCs/>
          <w:sz w:val="24"/>
          <w:szCs w:val="24"/>
          <w:u w:val="single"/>
          <w:lang w:val="en-US" w:eastAsia="zh-CN"/>
        </w:rPr>
        <w:t>调整事项</w:t>
      </w:r>
      <w:r>
        <w:rPr>
          <w:rFonts w:hint="eastAsia" w:ascii="楷体" w:hAnsi="楷体" w:eastAsia="楷体"/>
          <w:b/>
          <w:bCs/>
          <w:sz w:val="24"/>
          <w:szCs w:val="24"/>
          <w:u w:val="single"/>
        </w:rPr>
        <w:t>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1"/>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金融监管总局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1"/>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1"/>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1"/>
        </w:numPr>
        <w:rPr>
          <w:rFonts w:hint="eastAsia"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sz w:val="24"/>
          <w:szCs w:val="24"/>
        </w:rPr>
      </w:pPr>
      <w:r>
        <w:rPr>
          <w:rFonts w:hint="eastAsia" w:ascii="楷体" w:hAnsi="楷体" w:eastAsia="楷体"/>
          <w:sz w:val="24"/>
          <w:szCs w:val="24"/>
        </w:rPr>
        <w:t>为保护投资者合法权益，尊重投资者的知情权和自主选择权，现将本理财产品的基本要素说明如下：</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1"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w:t>
            </w:r>
            <w:r>
              <w:rPr>
                <w:rFonts w:hint="eastAsia" w:ascii="楷体" w:hAnsi="楷体" w:eastAsia="楷体" w:cs="宋体"/>
                <w:spacing w:val="-2"/>
                <w:sz w:val="21"/>
                <w:szCs w:val="21"/>
                <w:lang w:eastAsia="zh-CN"/>
              </w:rPr>
              <w:t>恒源6月定开18期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0"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Z7003123000195</w:t>
            </w:r>
          </w:p>
          <w:p>
            <w:pPr>
              <w:pStyle w:val="36"/>
              <w:keepNext w:val="0"/>
              <w:keepLines w:val="0"/>
              <w:suppressLineNumbers w:val="0"/>
              <w:kinsoku w:val="0"/>
              <w:overflowPunct w:val="0"/>
              <w:spacing w:before="0"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hint="default" w:ascii="楷体" w:hAnsi="楷体" w:eastAsia="楷体" w:cs="宋体"/>
                <w:spacing w:val="-2"/>
                <w:sz w:val="21"/>
                <w:szCs w:val="21"/>
              </w:rPr>
              <w:fldChar w:fldCharType="begin"/>
            </w:r>
            <w:r>
              <w:rPr>
                <w:rFonts w:hint="default" w:ascii="楷体" w:hAnsi="楷体" w:eastAsia="楷体" w:cs="宋体"/>
                <w:spacing w:val="-2"/>
                <w:sz w:val="21"/>
                <w:szCs w:val="21"/>
              </w:rPr>
              <w:instrText xml:space="preserve"> HYPERLINK "http://www.chinawealth.com.cn/" </w:instrText>
            </w:r>
            <w:r>
              <w:rPr>
                <w:rFonts w:hint="default" w:ascii="楷体" w:hAnsi="楷体" w:eastAsia="楷体" w:cs="宋体"/>
                <w:spacing w:val="-2"/>
                <w:sz w:val="21"/>
                <w:szCs w:val="21"/>
              </w:rPr>
              <w:fldChar w:fldCharType="separate"/>
            </w:r>
            <w:r>
              <w:rPr>
                <w:rFonts w:hint="default" w:ascii="楷体" w:hAnsi="楷体" w:eastAsia="楷体" w:cs="宋体"/>
                <w:spacing w:val="-2"/>
                <w:sz w:val="21"/>
                <w:szCs w:val="21"/>
              </w:rPr>
              <w:t>www.chinawealth.com.cn</w:t>
            </w:r>
            <w:r>
              <w:rPr>
                <w:rFonts w:hint="default"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A份额：苏银理财恒源</w:t>
            </w:r>
            <w:r>
              <w:rPr>
                <w:rFonts w:hint="eastAsia" w:ascii="楷体" w:hAnsi="楷体" w:eastAsia="楷体" w:cs="宋体"/>
                <w:spacing w:val="-2"/>
                <w:sz w:val="21"/>
                <w:szCs w:val="21"/>
                <w:highlight w:val="none"/>
                <w:lang w:eastAsia="zh-CN"/>
              </w:rPr>
              <w:t>6月定开18期</w:t>
            </w:r>
            <w:r>
              <w:rPr>
                <w:rFonts w:hint="eastAsia" w:ascii="楷体" w:hAnsi="楷体" w:eastAsia="楷体" w:cs="宋体"/>
                <w:spacing w:val="-2"/>
                <w:sz w:val="21"/>
                <w:szCs w:val="21"/>
                <w:highlight w:val="none"/>
              </w:rPr>
              <w:t>A/</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3004</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C份额：苏银理财恒源</w:t>
            </w:r>
            <w:r>
              <w:rPr>
                <w:rFonts w:hint="eastAsia" w:ascii="楷体" w:hAnsi="楷体" w:eastAsia="楷体" w:cs="宋体"/>
                <w:spacing w:val="-2"/>
                <w:sz w:val="21"/>
                <w:szCs w:val="21"/>
                <w:highlight w:val="none"/>
                <w:lang w:eastAsia="zh-CN"/>
              </w:rPr>
              <w:t>6月定开18期</w:t>
            </w:r>
            <w:r>
              <w:rPr>
                <w:rFonts w:hint="eastAsia" w:ascii="楷体" w:hAnsi="楷体" w:eastAsia="楷体" w:cs="宋体"/>
                <w:spacing w:val="-2"/>
                <w:sz w:val="21"/>
                <w:szCs w:val="21"/>
                <w:highlight w:val="none"/>
              </w:rPr>
              <w:t>C/</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3005</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D份额：苏银理财恒源</w:t>
            </w:r>
            <w:r>
              <w:rPr>
                <w:rFonts w:hint="eastAsia" w:ascii="楷体" w:hAnsi="楷体" w:eastAsia="楷体" w:cs="宋体"/>
                <w:spacing w:val="-2"/>
                <w:sz w:val="21"/>
                <w:szCs w:val="21"/>
                <w:highlight w:val="none"/>
                <w:lang w:eastAsia="zh-CN"/>
              </w:rPr>
              <w:t>6月定开18期</w:t>
            </w:r>
            <w:r>
              <w:rPr>
                <w:rFonts w:hint="eastAsia" w:ascii="楷体" w:hAnsi="楷体" w:eastAsia="楷体" w:cs="宋体"/>
                <w:spacing w:val="-2"/>
                <w:sz w:val="21"/>
                <w:szCs w:val="21"/>
                <w:highlight w:val="none"/>
              </w:rPr>
              <w:t>D/</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3006</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F份额：苏银理财恒源</w:t>
            </w:r>
            <w:r>
              <w:rPr>
                <w:rFonts w:hint="eastAsia" w:ascii="楷体" w:hAnsi="楷体" w:eastAsia="楷体" w:cs="宋体"/>
                <w:spacing w:val="-2"/>
                <w:sz w:val="21"/>
                <w:szCs w:val="21"/>
                <w:highlight w:val="none"/>
                <w:lang w:eastAsia="zh-CN"/>
              </w:rPr>
              <w:t>6月定开18期</w:t>
            </w:r>
            <w:r>
              <w:rPr>
                <w:rFonts w:hint="eastAsia" w:ascii="楷体" w:hAnsi="楷体" w:eastAsia="楷体" w:cs="宋体"/>
                <w:spacing w:val="-2"/>
                <w:sz w:val="21"/>
                <w:szCs w:val="21"/>
                <w:highlight w:val="none"/>
              </w:rPr>
              <w:t>F/</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3007</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highlight w:val="none"/>
                <w:lang w:val="en-US" w:eastAsia="zh-CN"/>
              </w:rPr>
            </w:pPr>
            <w:r>
              <w:rPr>
                <w:rFonts w:hint="eastAsia" w:ascii="楷体" w:hAnsi="楷体" w:eastAsia="楷体" w:cs="宋体"/>
                <w:spacing w:val="-2"/>
                <w:sz w:val="21"/>
                <w:szCs w:val="21"/>
                <w:highlight w:val="none"/>
              </w:rPr>
              <w:t>G份额：苏银理财恒源</w:t>
            </w:r>
            <w:r>
              <w:rPr>
                <w:rFonts w:hint="eastAsia" w:ascii="楷体" w:hAnsi="楷体" w:eastAsia="楷体" w:cs="宋体"/>
                <w:spacing w:val="-2"/>
                <w:sz w:val="21"/>
                <w:szCs w:val="21"/>
                <w:highlight w:val="none"/>
                <w:lang w:eastAsia="zh-CN"/>
              </w:rPr>
              <w:t>6月定开18期</w:t>
            </w:r>
            <w:r>
              <w:rPr>
                <w:rFonts w:hint="eastAsia" w:ascii="楷体" w:hAnsi="楷体" w:eastAsia="楷体" w:cs="宋体"/>
                <w:spacing w:val="-2"/>
                <w:sz w:val="21"/>
                <w:szCs w:val="21"/>
                <w:highlight w:val="none"/>
              </w:rPr>
              <w:t>G/</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3008</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highlight w:val="none"/>
              </w:rPr>
              <w:t>L份额：苏银理财恒源</w:t>
            </w:r>
            <w:r>
              <w:rPr>
                <w:rFonts w:hint="eastAsia" w:ascii="楷体" w:hAnsi="楷体" w:eastAsia="楷体" w:cs="宋体"/>
                <w:spacing w:val="-2"/>
                <w:sz w:val="21"/>
                <w:szCs w:val="21"/>
                <w:highlight w:val="none"/>
                <w:lang w:eastAsia="zh-CN"/>
              </w:rPr>
              <w:t>6月定开18期</w:t>
            </w:r>
            <w:r>
              <w:rPr>
                <w:rFonts w:hint="eastAsia" w:ascii="楷体" w:hAnsi="楷体" w:eastAsia="楷体" w:cs="宋体"/>
                <w:spacing w:val="-2"/>
                <w:sz w:val="21"/>
                <w:szCs w:val="21"/>
                <w:highlight w:val="none"/>
              </w:rPr>
              <w:t>L/</w:t>
            </w:r>
            <w:r>
              <w:rPr>
                <w:rFonts w:hint="eastAsia" w:ascii="楷体" w:hAnsi="楷体" w:eastAsia="楷体" w:cs="宋体"/>
                <w:spacing w:val="-2"/>
                <w:sz w:val="21"/>
                <w:szCs w:val="21"/>
                <w:highlight w:val="none"/>
                <w:lang w:eastAsia="zh-CN"/>
              </w:rPr>
              <w:t>J0</w:t>
            </w:r>
            <w:r>
              <w:rPr>
                <w:rFonts w:hint="eastAsia" w:ascii="楷体" w:hAnsi="楷体" w:eastAsia="楷体" w:cs="宋体"/>
                <w:spacing w:val="-2"/>
                <w:sz w:val="21"/>
                <w:szCs w:val="21"/>
                <w:highlight w:val="none"/>
                <w:lang w:val="en-US" w:eastAsia="zh-CN"/>
              </w:rPr>
              <w:t>3009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销售机构</w:t>
            </w:r>
          </w:p>
        </w:tc>
        <w:tc>
          <w:tcPr>
            <w:tcW w:w="6614" w:type="dxa"/>
            <w:noWrap w:val="0"/>
            <w:vAlign w:val="center"/>
          </w:tcPr>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keepNext w:val="0"/>
              <w:keepLines w:val="0"/>
              <w:suppressLineNumbers w:val="0"/>
              <w:kinsoku w:val="0"/>
              <w:overflowPunct w:val="0"/>
              <w:autoSpaceDE w:val="0"/>
              <w:autoSpaceDN w:val="0"/>
              <w:adjustRightInd w:val="0"/>
              <w:spacing w:before="13" w:beforeAutospacing="0" w:after="0" w:afterAutospacing="0"/>
              <w:ind w:left="59" w:right="73" w:rightChars="35"/>
              <w:rPr>
                <w:rFonts w:hint="eastAsia" w:ascii="楷体" w:hAnsi="楷体" w:eastAsia="楷体" w:cs="宋体"/>
                <w:b/>
                <w:spacing w:val="-2"/>
                <w:kern w:val="0"/>
                <w:szCs w:val="21"/>
                <w:u w:val="single"/>
              </w:rPr>
            </w:pPr>
            <w:r>
              <w:rPr>
                <w:rFonts w:hint="eastAsia" w:ascii="楷体" w:hAnsi="楷体" w:eastAsia="楷体" w:cs="宋体"/>
                <w:b/>
                <w:spacing w:val="-2"/>
                <w:kern w:val="0"/>
                <w:szCs w:val="21"/>
                <w:u w:val="single"/>
              </w:rPr>
              <w:t>1、★★二级，</w:t>
            </w:r>
            <w:r>
              <w:rPr>
                <w:rFonts w:hint="eastAsia" w:ascii="楷体" w:hAnsi="楷体" w:eastAsia="楷体" w:cs="宋体"/>
                <w:spacing w:val="-2"/>
                <w:kern w:val="0"/>
                <w:szCs w:val="21"/>
              </w:rPr>
              <w:t>本评级为苏银理财有限责任公司内部评级，由苏银理财根据理财产品的投资组合、同类产品过往业绩和风险状况等因素，对理财产品进行评级，仅供客户参考。</w:t>
            </w:r>
          </w:p>
          <w:p>
            <w:pPr>
              <w:pStyle w:val="36"/>
              <w:keepNext w:val="0"/>
              <w:keepLines w:val="0"/>
              <w:suppressLineNumbers w:val="0"/>
              <w:kinsoku w:val="0"/>
              <w:overflowPunct w:val="0"/>
              <w:spacing w:before="13" w:beforeAutospacing="0" w:after="0" w:afterAutospacing="0"/>
              <w:ind w:left="59" w:right="73" w:rightChars="35"/>
              <w:jc w:val="both"/>
              <w:rPr>
                <w:rFonts w:hint="eastAsia" w:ascii="楷体" w:hAnsi="楷体" w:eastAsia="楷体" w:cs="宋体"/>
                <w:spacing w:val="-2"/>
                <w:sz w:val="21"/>
                <w:szCs w:val="21"/>
                <w:highlight w:val="none"/>
              </w:rPr>
            </w:pPr>
            <w:r>
              <w:rPr>
                <w:rFonts w:hint="eastAsia" w:ascii="楷体" w:hAnsi="楷体" w:eastAsia="楷体" w:cs="宋体"/>
                <w:spacing w:val="-2"/>
                <w:sz w:val="21"/>
                <w:szCs w:val="21"/>
                <w:highlight w:val="none"/>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highlight w:val="none"/>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hint="default" w:ascii="楷体" w:hAnsi="楷体" w:eastAsia="楷体" w:cs="宋体"/>
                <w:spacing w:val="-2"/>
                <w:sz w:val="21"/>
                <w:szCs w:val="21"/>
                <w:highlight w:val="none"/>
              </w:rPr>
              <w:t>销售评级与</w:t>
            </w:r>
            <w:r>
              <w:rPr>
                <w:rFonts w:hint="eastAsia" w:ascii="楷体" w:hAnsi="楷体" w:eastAsia="楷体" w:cs="宋体"/>
                <w:spacing w:val="-2"/>
                <w:sz w:val="21"/>
                <w:szCs w:val="21"/>
                <w:highlight w:val="none"/>
              </w:rPr>
              <w:t>苏银理财</w:t>
            </w:r>
            <w:r>
              <w:rPr>
                <w:rFonts w:hint="default" w:ascii="楷体" w:hAnsi="楷体" w:eastAsia="楷体" w:cs="宋体"/>
                <w:spacing w:val="-2"/>
                <w:sz w:val="21"/>
                <w:szCs w:val="21"/>
                <w:highlight w:val="none"/>
              </w:rPr>
              <w:t>产品评级结果不一致的，代理销售机构应当采用对应较高风险等级的评级结果并予以披露</w:t>
            </w:r>
            <w:r>
              <w:rPr>
                <w:rFonts w:hint="eastAsia" w:ascii="楷体" w:hAnsi="楷体" w:eastAsia="楷体" w:cs="宋体"/>
                <w:spacing w:val="-2"/>
                <w:sz w:val="21"/>
                <w:szCs w:val="21"/>
                <w:highlight w:val="none"/>
              </w:rPr>
              <w:t>。</w:t>
            </w:r>
          </w:p>
          <w:p>
            <w:pPr>
              <w:pStyle w:val="36"/>
              <w:keepNext w:val="0"/>
              <w:keepLines w:val="0"/>
              <w:suppressLineNumbers w:val="0"/>
              <w:kinsoku w:val="0"/>
              <w:overflowPunct w:val="0"/>
              <w:spacing w:before="13"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b/>
                <w:spacing w:val="-2"/>
                <w:sz w:val="21"/>
                <w:szCs w:val="21"/>
                <w:highlight w:val="none"/>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hint="default" w:ascii="楷体" w:hAnsi="楷体" w:eastAsia="楷体" w:cs="宋体"/>
                <w:b/>
                <w:spacing w:val="-2"/>
                <w:sz w:val="21"/>
                <w:szCs w:val="21"/>
                <w:highlight w:val="none"/>
                <w:u w:val="single"/>
              </w:rPr>
              <w:t>通过代理销售机构渠道销售，理财产品评级</w:t>
            </w:r>
            <w:r>
              <w:rPr>
                <w:rFonts w:hint="eastAsia" w:ascii="楷体" w:hAnsi="楷体" w:eastAsia="楷体" w:cs="宋体"/>
                <w:b/>
                <w:spacing w:val="-2"/>
                <w:sz w:val="21"/>
                <w:szCs w:val="21"/>
                <w:highlight w:val="none"/>
                <w:u w:val="single"/>
              </w:rPr>
              <w:t>以</w:t>
            </w:r>
            <w:r>
              <w:rPr>
                <w:rFonts w:hint="default" w:ascii="楷体" w:hAnsi="楷体" w:eastAsia="楷体" w:cs="宋体"/>
                <w:b/>
                <w:spacing w:val="-2"/>
                <w:sz w:val="21"/>
                <w:szCs w:val="21"/>
                <w:highlight w:val="none"/>
                <w:u w:val="single"/>
              </w:rPr>
              <w:t>代理销售机构最终披露的评级结果为准</w:t>
            </w:r>
            <w:r>
              <w:rPr>
                <w:rFonts w:hint="eastAsia" w:ascii="楷体" w:hAnsi="楷体" w:eastAsia="楷体" w:cs="宋体"/>
                <w:b/>
                <w:spacing w:val="-2"/>
                <w:sz w:val="21"/>
                <w:szCs w:val="21"/>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rPr>
            </w:pPr>
            <w:r>
              <w:rPr>
                <w:rFonts w:hint="default" w:ascii="楷体" w:hAnsi="楷体" w:eastAsia="楷体" w:cs="宋体"/>
                <w:spacing w:val="-2"/>
                <w:sz w:val="21"/>
                <w:szCs w:val="21"/>
              </w:rPr>
              <w:t>A</w:t>
            </w:r>
            <w:r>
              <w:rPr>
                <w:rFonts w:hint="eastAsia" w:ascii="楷体" w:hAnsi="楷体" w:eastAsia="楷体" w:cs="宋体"/>
                <w:spacing w:val="-2"/>
                <w:sz w:val="21"/>
                <w:szCs w:val="21"/>
              </w:rPr>
              <w:t>份额面向个人和机构投资者销售。</w:t>
            </w:r>
          </w:p>
          <w:p>
            <w:pPr>
              <w:pStyle w:val="36"/>
              <w:keepNext w:val="0"/>
              <w:keepLines w:val="0"/>
              <w:suppressLineNumbers w:val="0"/>
              <w:kinsoku w:val="0"/>
              <w:overflowPunct w:val="0"/>
              <w:spacing w:before="12" w:beforeAutospacing="0" w:after="0" w:afterAutospacing="0"/>
              <w:ind w:left="59" w:right="88" w:rightChars="42"/>
              <w:jc w:val="both"/>
              <w:rPr>
                <w:rFonts w:hint="eastAsia" w:ascii="楷体" w:hAnsi="楷体" w:eastAsia="楷体" w:cs="宋体"/>
                <w:spacing w:val="-2"/>
                <w:sz w:val="21"/>
                <w:szCs w:val="21"/>
                <w:highlight w:val="yellow"/>
              </w:rPr>
            </w:pPr>
            <w:r>
              <w:rPr>
                <w:rFonts w:hint="default" w:ascii="楷体" w:hAnsi="楷体" w:eastAsia="楷体" w:cs="宋体"/>
                <w:spacing w:val="-2"/>
                <w:sz w:val="21"/>
                <w:szCs w:val="21"/>
                <w:highlight w:val="none"/>
              </w:rPr>
              <w:t>C</w:t>
            </w:r>
            <w:r>
              <w:rPr>
                <w:rFonts w:hint="eastAsia" w:ascii="楷体" w:hAnsi="楷体" w:eastAsia="楷体" w:cs="宋体"/>
                <w:spacing w:val="-2"/>
                <w:sz w:val="21"/>
                <w:szCs w:val="21"/>
                <w:highlight w:val="none"/>
              </w:rPr>
              <w:t>份额面向个人和机构投资者销售（</w:t>
            </w:r>
            <w:r>
              <w:rPr>
                <w:rFonts w:hint="eastAsia" w:ascii="楷体" w:hAnsi="楷体" w:eastAsia="楷体" w:cs="宋体"/>
                <w:spacing w:val="-2"/>
                <w:sz w:val="21"/>
                <w:szCs w:val="21"/>
                <w:highlight w:val="none"/>
                <w:lang w:val="en-US" w:eastAsia="zh-CN"/>
              </w:rPr>
              <w:t>销售机构</w:t>
            </w:r>
            <w:r>
              <w:rPr>
                <w:rFonts w:hint="eastAsia" w:ascii="楷体" w:hAnsi="楷体" w:eastAsia="楷体" w:cs="宋体"/>
                <w:spacing w:val="-2"/>
                <w:sz w:val="21"/>
                <w:szCs w:val="21"/>
                <w:highlight w:val="none"/>
              </w:rPr>
              <w:t>江苏银行</w:t>
            </w:r>
            <w:r>
              <w:rPr>
                <w:rFonts w:hint="eastAsia" w:ascii="楷体" w:hAnsi="楷体" w:eastAsia="楷体" w:cs="宋体"/>
                <w:spacing w:val="-2"/>
                <w:sz w:val="21"/>
                <w:szCs w:val="21"/>
                <w:highlight w:val="none"/>
                <w:lang w:val="en-US" w:eastAsia="zh-CN"/>
              </w:rPr>
              <w:t>个人投资者</w:t>
            </w:r>
            <w:r>
              <w:rPr>
                <w:rFonts w:hint="eastAsia" w:ascii="楷体" w:hAnsi="楷体" w:eastAsia="楷体" w:cs="宋体"/>
                <w:spacing w:val="-2"/>
                <w:sz w:val="21"/>
                <w:szCs w:val="21"/>
                <w:highlight w:val="none"/>
              </w:rPr>
              <w:t>仅限新资金客户及新客户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新资金的达标条件为“客户前一日资产时点余额”较“前一月末资产月日均余额”的新增额大于5万元；新客户是指首次购买苏银理财理财产品的客户）。</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default" w:ascii="楷体" w:hAnsi="楷体" w:eastAsia="楷体" w:cs="宋体"/>
                <w:spacing w:val="-2"/>
                <w:sz w:val="21"/>
                <w:szCs w:val="21"/>
              </w:rPr>
              <w:t>D</w:t>
            </w:r>
            <w:r>
              <w:rPr>
                <w:rFonts w:hint="eastAsia" w:ascii="楷体" w:hAnsi="楷体" w:eastAsia="楷体" w:cs="宋体"/>
                <w:spacing w:val="-2"/>
                <w:sz w:val="21"/>
                <w:szCs w:val="21"/>
              </w:rPr>
              <w:t>份额面向个人</w:t>
            </w:r>
            <w:r>
              <w:rPr>
                <w:rFonts w:hint="eastAsia" w:ascii="楷体" w:hAnsi="楷体" w:eastAsia="楷体" w:cs="宋体"/>
                <w:spacing w:val="-2"/>
                <w:sz w:val="21"/>
                <w:szCs w:val="21"/>
                <w:lang w:val="en-US" w:eastAsia="zh-CN"/>
              </w:rPr>
              <w:t>和机构</w:t>
            </w:r>
            <w:r>
              <w:rPr>
                <w:rFonts w:hint="eastAsia" w:ascii="楷体" w:hAnsi="楷体" w:eastAsia="楷体" w:cs="宋体"/>
                <w:spacing w:val="-2"/>
                <w:sz w:val="21"/>
                <w:szCs w:val="21"/>
              </w:rPr>
              <w:t>投资者销售（</w:t>
            </w:r>
            <w:r>
              <w:rPr>
                <w:rFonts w:hint="eastAsia" w:ascii="楷体" w:hAnsi="楷体" w:eastAsia="楷体" w:cs="宋体"/>
                <w:spacing w:val="-2"/>
                <w:sz w:val="21"/>
                <w:szCs w:val="21"/>
                <w:lang w:val="en-US" w:eastAsia="zh-CN"/>
              </w:rPr>
              <w:t>销售机构江苏银行个人投资者</w:t>
            </w:r>
            <w:r>
              <w:rPr>
                <w:rFonts w:hint="eastAsia" w:ascii="楷体" w:hAnsi="楷体" w:eastAsia="楷体" w:cs="宋体"/>
                <w:spacing w:val="-2"/>
                <w:sz w:val="21"/>
                <w:szCs w:val="21"/>
              </w:rPr>
              <w:t>仅限财富客户、私行客户购买；江苏银行财富客户指在江苏银行日均资产大于等于200万元的个人客户；江苏银行私行客户指在江苏银行日均资产大于等于600万元的个人客户</w:t>
            </w:r>
            <w:r>
              <w:rPr>
                <w:rFonts w:hint="eastAsia" w:ascii="楷体" w:hAnsi="楷体" w:eastAsia="楷体" w:cs="宋体"/>
                <w:spacing w:val="-2"/>
                <w:sz w:val="21"/>
                <w:szCs w:val="21"/>
                <w:lang w:eastAsia="zh-CN"/>
              </w:rPr>
              <w:t>。机构投资者具体以销售机构设置为准</w:t>
            </w:r>
            <w:r>
              <w:rPr>
                <w:rFonts w:hint="eastAsia" w:ascii="楷体" w:hAnsi="楷体" w:eastAsia="楷体" w:cs="宋体"/>
                <w:spacing w:val="-2"/>
                <w:sz w:val="21"/>
                <w:szCs w:val="21"/>
              </w:rPr>
              <w:t>）。</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w:t>
            </w:r>
            <w:r>
              <w:rPr>
                <w:rFonts w:hint="eastAsia" w:ascii="楷体" w:hAnsi="楷体" w:eastAsia="楷体" w:cs="宋体"/>
                <w:spacing w:val="-2"/>
                <w:sz w:val="21"/>
                <w:szCs w:val="21"/>
              </w:rPr>
              <w:t>面向个人和机构投资者销售。</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G份额面向个人和机构投资者销售（个人投资者仅限新资金客户及新客户</w:t>
            </w:r>
          </w:p>
          <w:p>
            <w:pPr>
              <w:pStyle w:val="36"/>
              <w:keepNext w:val="0"/>
              <w:keepLines w:val="0"/>
              <w:suppressLineNumbers w:val="0"/>
              <w:kinsoku w:val="0"/>
              <w:overflowPunct w:val="0"/>
              <w:spacing w:before="12" w:beforeAutospacing="0" w:after="0" w:afterAutospacing="0"/>
              <w:ind w:left="59" w:right="73" w:rightChars="3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，客群由销售机构进行认定）。</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val="en-US" w:eastAsia="zh-CN"/>
              </w:rPr>
              <w:t>L份额</w:t>
            </w:r>
            <w:r>
              <w:rPr>
                <w:rFonts w:hint="eastAsia" w:ascii="楷体" w:hAnsi="楷体" w:eastAsia="楷体" w:cs="宋体"/>
                <w:spacing w:val="-2"/>
                <w:sz w:val="21"/>
                <w:szCs w:val="21"/>
              </w:rPr>
              <w:t>面向个人和机构投资者销售</w:t>
            </w:r>
            <w:r>
              <w:rPr>
                <w:rFonts w:hint="eastAsia" w:ascii="楷体" w:hAnsi="楷体" w:eastAsia="楷体" w:cs="宋体"/>
                <w:spacing w:val="-2"/>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default" w:ascii="楷体" w:hAnsi="楷体" w:eastAsia="楷体" w:cs="宋体"/>
                <w:b/>
                <w:spacing w:val="-2"/>
                <w:sz w:val="21"/>
                <w:szCs w:val="21"/>
              </w:rPr>
            </w:pPr>
            <w:r>
              <w:rPr>
                <w:rFonts w:hint="eastAsia" w:ascii="楷体" w:hAnsi="楷体" w:eastAsia="楷体" w:cs="宋体"/>
                <w:b/>
                <w:spacing w:val="-2"/>
                <w:sz w:val="21"/>
                <w:szCs w:val="21"/>
              </w:rPr>
              <w:t>募集币种</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default"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投资周期</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b/>
                <w:spacing w:val="-2"/>
                <w:sz w:val="21"/>
                <w:szCs w:val="21"/>
              </w:rPr>
            </w:pPr>
            <w:r>
              <w:rPr>
                <w:rFonts w:hint="default" w:ascii="楷体" w:hAnsi="楷体" w:eastAsia="楷体" w:cs="宋体"/>
                <w:spacing w:val="-2"/>
                <w:sz w:val="21"/>
                <w:szCs w:val="21"/>
              </w:rPr>
              <w:t>6</w:t>
            </w:r>
            <w:r>
              <w:rPr>
                <w:rFonts w:hint="eastAsia" w:ascii="楷体" w:hAnsi="楷体" w:eastAsia="楷体" w:cs="宋体"/>
                <w:spacing w:val="-2"/>
                <w:sz w:val="21"/>
                <w:szCs w:val="21"/>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计划发行规模</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 w:val="21"/>
                <w:szCs w:val="21"/>
              </w:rPr>
            </w:pPr>
            <w:r>
              <w:rPr>
                <w:rFonts w:hint="eastAsia" w:ascii="楷体" w:hAnsi="楷体" w:eastAsia="楷体" w:cs="宋体"/>
                <w:spacing w:val="-2"/>
                <w:szCs w:val="21"/>
              </w:rPr>
              <w:t>首个投资周期计划发行规模</w:t>
            </w:r>
            <w:r>
              <w:rPr>
                <w:rFonts w:hint="eastAsia" w:ascii="楷体" w:hAnsi="楷体" w:eastAsia="楷体" w:cs="宋体"/>
                <w:spacing w:val="-2"/>
                <w:szCs w:val="21"/>
                <w:lang w:val="en-US" w:eastAsia="zh-CN"/>
              </w:rPr>
              <w:t>10</w:t>
            </w:r>
            <w:r>
              <w:rPr>
                <w:rFonts w:hint="eastAsia" w:ascii="楷体" w:hAnsi="楷体" w:eastAsia="楷体" w:cs="宋体"/>
                <w:spacing w:val="-2"/>
                <w:szCs w:val="21"/>
              </w:rPr>
              <w:t>亿元，募集过程中管理人有权根据产品的募集情况调整计划发行规模。后续开放期内管理人将根据客户申购/赎回情况调整产品发行规模。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认购起点</w:t>
            </w:r>
            <w:r>
              <w:rPr>
                <w:rFonts w:hint="default"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A份额认购起点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rPr>
            </w:pPr>
            <w:r>
              <w:rPr>
                <w:rFonts w:hint="default" w:ascii="楷体" w:hAnsi="楷体" w:eastAsia="楷体" w:cs="宋体"/>
                <w:spacing w:val="-2"/>
                <w:szCs w:val="21"/>
              </w:rPr>
              <w:t>C</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default" w:ascii="楷体" w:hAnsi="楷体" w:eastAsia="楷体" w:cs="宋体"/>
                <w:spacing w:val="-2"/>
                <w:szCs w:val="21"/>
              </w:rPr>
              <w:t>D</w:t>
            </w:r>
            <w:r>
              <w:rPr>
                <w:rFonts w:hint="eastAsia" w:ascii="楷体" w:hAnsi="楷体" w:eastAsia="楷体" w:cs="宋体"/>
                <w:spacing w:val="-2"/>
                <w:szCs w:val="21"/>
              </w:rPr>
              <w:t>份额</w:t>
            </w:r>
            <w:r>
              <w:rPr>
                <w:rFonts w:hint="eastAsia" w:ascii="楷体" w:hAnsi="楷体" w:eastAsia="楷体" w:cs="宋体"/>
                <w:spacing w:val="-2"/>
                <w:szCs w:val="21"/>
                <w:lang w:val="en-US" w:eastAsia="zh-CN"/>
              </w:rPr>
              <w:t>个人投资者</w:t>
            </w:r>
            <w:r>
              <w:rPr>
                <w:rFonts w:hint="eastAsia" w:ascii="楷体" w:hAnsi="楷体" w:eastAsia="楷体" w:cs="宋体"/>
                <w:spacing w:val="-2"/>
                <w:szCs w:val="21"/>
              </w:rPr>
              <w:t>认购起点</w:t>
            </w:r>
            <w:r>
              <w:rPr>
                <w:rFonts w:hint="default" w:ascii="楷体" w:hAnsi="楷体" w:eastAsia="楷体" w:cs="宋体"/>
                <w:spacing w:val="-2"/>
                <w:szCs w:val="21"/>
              </w:rPr>
              <w:t>50</w:t>
            </w:r>
            <w:r>
              <w:rPr>
                <w:rFonts w:hint="eastAsia" w:ascii="楷体" w:hAnsi="楷体" w:eastAsia="楷体" w:cs="宋体"/>
                <w:spacing w:val="-2"/>
                <w:szCs w:val="21"/>
              </w:rPr>
              <w:t>万元，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rPr>
              <w:t>万</w:t>
            </w:r>
            <w:r>
              <w:rPr>
                <w:rFonts w:hint="eastAsia" w:ascii="楷体" w:hAnsi="楷体" w:eastAsia="楷体" w:cs="Times New Roman"/>
                <w:szCs w:val="21"/>
              </w:rPr>
              <w:t>元的整数倍</w:t>
            </w:r>
            <w:r>
              <w:rPr>
                <w:rFonts w:hint="eastAsia" w:ascii="楷体" w:hAnsi="楷体" w:eastAsia="楷体" w:cs="Times New Roman"/>
                <w:szCs w:val="21"/>
                <w:lang w:eastAsia="zh-CN"/>
              </w:rPr>
              <w:t>；</w:t>
            </w:r>
            <w:r>
              <w:rPr>
                <w:rFonts w:hint="eastAsia" w:ascii="楷体" w:hAnsi="楷体" w:eastAsia="楷体" w:cs="Times New Roman"/>
                <w:szCs w:val="21"/>
                <w:lang w:val="en-US" w:eastAsia="zh-CN"/>
              </w:rPr>
              <w:t>机构投资者认购起点5000万元，追加金额为1万元的整数倍。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F</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eastAsia" w:ascii="楷体" w:hAnsi="楷体" w:eastAsia="楷体" w:cs="Times New Roman"/>
                <w:szCs w:val="21"/>
              </w:rPr>
            </w:pPr>
            <w:r>
              <w:rPr>
                <w:rFonts w:hint="eastAsia" w:ascii="楷体" w:hAnsi="楷体" w:eastAsia="楷体" w:cs="Times New Roman"/>
                <w:szCs w:val="21"/>
                <w:lang w:val="en-US" w:eastAsia="zh-CN"/>
              </w:rPr>
              <w:t>G</w:t>
            </w:r>
            <w:r>
              <w:rPr>
                <w:rFonts w:hint="eastAsia" w:ascii="楷体" w:hAnsi="楷体" w:eastAsia="楷体" w:cs="宋体"/>
                <w:spacing w:val="-2"/>
                <w:szCs w:val="21"/>
              </w:rPr>
              <w:t>份额认购起点</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宋体"/>
                <w:spacing w:val="-2"/>
                <w:szCs w:val="21"/>
                <w:lang w:val="en-US" w:eastAsia="zh-CN"/>
              </w:rPr>
              <w:t>万</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right="73" w:rightChars="35"/>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L份额</w:t>
            </w:r>
            <w:r>
              <w:rPr>
                <w:rFonts w:hint="eastAsia" w:ascii="楷体" w:hAnsi="楷体" w:eastAsia="楷体" w:cs="宋体"/>
                <w:spacing w:val="-2"/>
                <w:szCs w:val="21"/>
              </w:rPr>
              <w:t>认购起点</w:t>
            </w:r>
            <w:r>
              <w:rPr>
                <w:rFonts w:hint="default" w:ascii="楷体" w:hAnsi="楷体" w:eastAsia="楷体" w:cs="宋体"/>
                <w:spacing w:val="-2"/>
                <w:szCs w:val="21"/>
              </w:rPr>
              <w:t>1</w:t>
            </w:r>
            <w:r>
              <w:rPr>
                <w:rFonts w:hint="eastAsia" w:ascii="楷体" w:hAnsi="楷体" w:eastAsia="楷体" w:cs="宋体"/>
                <w:spacing w:val="-2"/>
                <w:szCs w:val="21"/>
              </w:rPr>
              <w:t>元，</w:t>
            </w:r>
            <w:r>
              <w:rPr>
                <w:rFonts w:hint="eastAsia" w:ascii="楷体" w:hAnsi="楷体" w:eastAsia="楷体" w:cs="Times New Roman"/>
                <w:szCs w:val="21"/>
              </w:rPr>
              <w:t>追加金额为</w:t>
            </w:r>
            <w:r>
              <w:rPr>
                <w:rFonts w:hint="default" w:ascii="楷体" w:hAnsi="楷体" w:eastAsia="楷体" w:cs="宋体"/>
                <w:spacing w:val="-2"/>
                <w:szCs w:val="21"/>
              </w:rPr>
              <w:t>1</w:t>
            </w:r>
            <w:r>
              <w:rPr>
                <w:rFonts w:hint="eastAsia" w:ascii="楷体" w:hAnsi="楷体" w:eastAsia="楷体" w:cs="Times New Roman"/>
                <w:szCs w:val="21"/>
              </w:rPr>
              <w:t>元的整数倍。</w:t>
            </w:r>
          </w:p>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Times New Roman"/>
                <w:szCs w:val="21"/>
              </w:rPr>
              <w:t>认购起点/追加金额具体以</w:t>
            </w:r>
            <w:r>
              <w:rPr>
                <w:rFonts w:hint="eastAsia" w:ascii="楷体" w:hAnsi="楷体" w:eastAsia="楷体" w:cs="Times New Roman"/>
                <w:szCs w:val="21"/>
                <w:lang w:val="en-US" w:eastAsia="zh-CN"/>
              </w:rPr>
              <w:t>销售</w:t>
            </w:r>
            <w:r>
              <w:rPr>
                <w:rFonts w:hint="eastAsia" w:ascii="楷体" w:hAnsi="楷体" w:eastAsia="楷体" w:cs="Times New Roman"/>
                <w:szCs w:val="21"/>
              </w:rPr>
              <w:t>机构设置为准。认购资金的清算和认购份额的计算详见下文“八、产品认购”。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份额面值</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leftChars="0" w:right="73" w:rightChars="35"/>
              <w:jc w:val="both"/>
              <w:rPr>
                <w:rFonts w:hint="eastAsia" w:ascii="楷体" w:hAnsi="楷体" w:eastAsia="楷体" w:cs="宋体"/>
                <w:spacing w:val="-2"/>
                <w:szCs w:val="21"/>
              </w:rPr>
            </w:pPr>
            <w:r>
              <w:rPr>
                <w:rFonts w:hint="eastAsia" w:ascii="楷体" w:hAnsi="楷体" w:eastAsia="楷体" w:cs="宋体"/>
                <w:spacing w:val="-2"/>
                <w:sz w:val="21"/>
                <w:szCs w:val="21"/>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3"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募集期</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2024年1月4日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2024年1月10日</w:t>
            </w:r>
            <w:r>
              <w:rPr>
                <w:rFonts w:hint="eastAsia" w:ascii="楷体" w:hAnsi="楷体" w:eastAsia="楷体" w:cs="宋体"/>
                <w:spacing w:val="-2"/>
                <w:sz w:val="21"/>
                <w:szCs w:val="21"/>
              </w:rPr>
              <w:t>17:00</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管理人在法律允许的范围内保留延长或提前终止产品募集期的权利。如有变动，实际产品募集期以管理人公告或各销售机构设置的募集时间为准。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产品成立日/份额登记日</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2024年1月11日</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000万</w:t>
            </w:r>
            <w:r>
              <w:rPr>
                <w:rFonts w:hint="eastAsia" w:ascii="楷体" w:hAnsi="楷体" w:eastAsia="楷体" w:cs="宋体"/>
                <w:spacing w:val="-2"/>
                <w:sz w:val="21"/>
                <w:szCs w:val="21"/>
                <w:lang w:val="en-US" w:eastAsia="zh-CN"/>
              </w:rPr>
              <w:t>元</w:t>
            </w:r>
            <w:r>
              <w:rPr>
                <w:rFonts w:hint="eastAsia" w:ascii="楷体" w:hAnsi="楷体" w:eastAsia="楷体" w:cs="宋体"/>
                <w:spacing w:val="-2"/>
                <w:sz w:val="21"/>
                <w:szCs w:val="21"/>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w:t>
            </w:r>
            <w:r>
              <w:rPr>
                <w:rFonts w:hint="eastAsia" w:ascii="楷体" w:hAnsi="楷体" w:eastAsia="楷体" w:cs="宋体"/>
                <w:spacing w:val="-2"/>
                <w:sz w:val="21"/>
                <w:szCs w:val="21"/>
                <w:lang w:eastAsia="zh-CN"/>
              </w:rPr>
              <w:t>募集期及资金</w:t>
            </w:r>
            <w:r>
              <w:rPr>
                <w:rFonts w:hint="eastAsia" w:ascii="楷体" w:hAnsi="楷体" w:eastAsia="楷体" w:cs="宋体"/>
                <w:spacing w:val="-2"/>
                <w:sz w:val="21"/>
                <w:szCs w:val="21"/>
              </w:rPr>
              <w:t>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614" w:type="dxa"/>
            <w:noWrap w:val="0"/>
            <w:vAlign w:val="center"/>
          </w:tcPr>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203</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31</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（如遇节假日，顺延至下一工作日）</w:t>
            </w:r>
          </w:p>
          <w:p>
            <w:pPr>
              <w:pStyle w:val="36"/>
              <w:keepNext w:val="0"/>
              <w:keepLines w:val="0"/>
              <w:suppressLineNumbers w:val="0"/>
              <w:kinsoku w:val="0"/>
              <w:overflowPunct w:val="0"/>
              <w:spacing w:before="12"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在符合本理财产品说明书约定的条件下，管理人有权提前终止该产品，产品到期日受制于提前终止条款。详见下文“十二、产品的终止与清算”。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本产品按投资周期开放申购与赎回，每6个月开放一次，投资者可在每个投资周期终止日前7</w:t>
            </w:r>
            <w:r>
              <w:rPr>
                <w:rFonts w:hint="eastAsia" w:ascii="楷体" w:hAnsi="楷体" w:eastAsia="楷体" w:cs="宋体"/>
                <w:spacing w:val="-2"/>
                <w:sz w:val="21"/>
                <w:szCs w:val="21"/>
                <w:lang w:val="en-US" w:eastAsia="zh-CN"/>
              </w:rPr>
              <w:t>个工作</w:t>
            </w:r>
            <w:r>
              <w:rPr>
                <w:rFonts w:hint="eastAsia" w:ascii="楷体" w:hAnsi="楷体" w:eastAsia="楷体" w:cs="宋体"/>
                <w:spacing w:val="-2"/>
                <w:sz w:val="21"/>
                <w:szCs w:val="21"/>
              </w:rPr>
              <w:t>日（含投资周期终止日）内，通过销售机构提出申购/赎回申请，管理人于投资周期终止日次日对申购/赎回申请予以统一确认，未赎回的部分份额自动进入下一个投资周期。（以各销售机构设置的开放时间为准）</w:t>
            </w:r>
          </w:p>
          <w:p>
            <w:pPr>
              <w:pStyle w:val="36"/>
              <w:keepNext w:val="0"/>
              <w:keepLines w:val="0"/>
              <w:suppressLineNumbers w:val="0"/>
              <w:kinsoku w:val="0"/>
              <w:overflowPunct w:val="0"/>
              <w:spacing w:before="14" w:beforeAutospacing="0" w:after="0" w:afterAutospacing="0"/>
              <w:ind w:left="59" w:right="73" w:rightChars="3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管理人有权根据资产运作情况、节假日安排调整开放计划，并在调整前进行公告。详见下文“十、产品申购、赎回”。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单个客户单日认/申购限额</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1亿元。</w:t>
            </w:r>
            <w:r>
              <w:rPr>
                <w:rFonts w:hint="eastAsia" w:ascii="楷体" w:hAnsi="楷体" w:eastAsia="楷体" w:cs="宋体"/>
                <w:spacing w:val="-2"/>
                <w:szCs w:val="21"/>
              </w:rPr>
              <w:t>超过单日累计认/申购上限时，管理人有权拒绝投资者的认/申购申请。产品存续期</w:t>
            </w:r>
            <w:r>
              <w:rPr>
                <w:rFonts w:hint="default" w:ascii="楷体" w:hAnsi="楷体" w:eastAsia="楷体" w:cs="宋体"/>
                <w:spacing w:val="-2"/>
                <w:szCs w:val="21"/>
              </w:rPr>
              <w:t>内管理人有权根据实际情况调整</w:t>
            </w:r>
            <w:r>
              <w:rPr>
                <w:rFonts w:hint="eastAsia" w:ascii="楷体" w:hAnsi="楷体" w:eastAsia="楷体" w:cs="宋体"/>
                <w:spacing w:val="-2"/>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单个客户持有份额上限</w:t>
            </w:r>
          </w:p>
        </w:tc>
        <w:tc>
          <w:tcPr>
            <w:tcW w:w="6614" w:type="dxa"/>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spacing w:val="-2"/>
                <w:kern w:val="0"/>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单个客户赎回限额</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rPr>
              <w:t>1亿份。超过单个客户赎回限额时，管理人有权拒绝投资者的赎回申请。</w:t>
            </w:r>
            <w:r>
              <w:rPr>
                <w:rFonts w:hint="eastAsia" w:ascii="楷体" w:hAnsi="楷体" w:eastAsia="楷体" w:cs="宋体"/>
                <w:b/>
                <w:bCs/>
                <w:spacing w:val="-2"/>
                <w:sz w:val="21"/>
                <w:szCs w:val="21"/>
                <w:u w:val="single"/>
              </w:rPr>
              <w:t>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4"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巨额申购</w:t>
            </w:r>
          </w:p>
        </w:tc>
        <w:tc>
          <w:tcPr>
            <w:tcW w:w="6614" w:type="dxa"/>
            <w:noWrap w:val="0"/>
            <w:vAlign w:val="center"/>
          </w:tcPr>
          <w:p>
            <w:pPr>
              <w:pStyle w:val="36"/>
              <w:keepNext w:val="0"/>
              <w:keepLines w:val="0"/>
              <w:suppressLineNumbers w:val="0"/>
              <w:kinsoku w:val="0"/>
              <w:overflowPunct w:val="0"/>
              <w:spacing w:before="14" w:beforeAutospacing="0" w:after="0" w:afterAutospacing="0"/>
              <w:ind w:left="59" w:leftChars="0" w:right="73" w:rightChars="35"/>
              <w:jc w:val="both"/>
              <w:rPr>
                <w:rFonts w:hint="eastAsia" w:ascii="楷体" w:hAnsi="楷体" w:eastAsia="楷体" w:cs="宋体"/>
                <w:b/>
                <w:spacing w:val="-2"/>
                <w:szCs w:val="21"/>
                <w:u w:val="single"/>
              </w:rPr>
            </w:pPr>
            <w:r>
              <w:rPr>
                <w:rFonts w:hint="eastAsia" w:ascii="楷体" w:hAnsi="楷体" w:eastAsia="楷体" w:cs="宋体"/>
                <w:spacing w:val="-2"/>
                <w:sz w:val="21"/>
                <w:szCs w:val="21"/>
                <w:highlight w:val="none"/>
              </w:rPr>
              <w:t>本产品单个开放日</w:t>
            </w:r>
            <w:r>
              <w:rPr>
                <w:rFonts w:hint="eastAsia" w:ascii="楷体" w:hAnsi="楷体" w:eastAsia="楷体" w:cs="宋体"/>
                <w:spacing w:val="-2"/>
                <w:sz w:val="21"/>
                <w:szCs w:val="18"/>
                <w:highlight w:val="none"/>
              </w:rPr>
              <w:t>投资者</w:t>
            </w:r>
            <w:r>
              <w:rPr>
                <w:rFonts w:hint="eastAsia" w:ascii="楷体" w:hAnsi="楷体" w:eastAsia="楷体" w:cs="宋体"/>
                <w:spacing w:val="-2"/>
                <w:sz w:val="21"/>
                <w:szCs w:val="21"/>
                <w:highlight w:val="none"/>
              </w:rPr>
              <w:t>净</w:t>
            </w:r>
            <w:r>
              <w:rPr>
                <w:rFonts w:hint="eastAsia" w:ascii="楷体" w:hAnsi="楷体" w:eastAsia="楷体" w:cs="宋体"/>
                <w:spacing w:val="-2"/>
                <w:sz w:val="21"/>
                <w:szCs w:val="21"/>
                <w:highlight w:val="none"/>
                <w:lang w:val="en-US" w:eastAsia="zh-CN"/>
              </w:rPr>
              <w:t>申购</w:t>
            </w:r>
            <w:r>
              <w:rPr>
                <w:rFonts w:hint="eastAsia" w:ascii="楷体" w:hAnsi="楷体" w:eastAsia="楷体" w:cs="宋体"/>
                <w:spacing w:val="-2"/>
                <w:sz w:val="21"/>
                <w:szCs w:val="21"/>
                <w:highlight w:val="none"/>
              </w:rPr>
              <w:t>额（申购申请份额总数扣除赎回申请份额总数）超过上一日产品总份额20%时，即</w:t>
            </w:r>
            <w:r>
              <w:rPr>
                <w:rFonts w:hint="eastAsia" w:ascii="楷体" w:hAnsi="楷体" w:eastAsia="楷体" w:cs="宋体"/>
                <w:spacing w:val="-2"/>
                <w:sz w:val="21"/>
                <w:szCs w:val="21"/>
              </w:rPr>
              <w:t>认为发生了巨额申购。</w:t>
            </w:r>
            <w:r>
              <w:rPr>
                <w:rFonts w:hint="eastAsia" w:ascii="楷体" w:hAnsi="楷体" w:eastAsia="楷体" w:cs="宋体"/>
                <w:b/>
                <w:bCs/>
                <w:spacing w:val="-2"/>
                <w:sz w:val="21"/>
                <w:szCs w:val="21"/>
                <w:u w:val="single"/>
              </w:rPr>
              <w:t>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suppressLineNumbers w:val="0"/>
              <w:spacing w:before="0" w:beforeAutospacing="0" w:after="0" w:afterAutospacing="0"/>
              <w:ind w:left="0" w:right="115" w:rightChars="55"/>
              <w:rPr>
                <w:rFonts w:hint="default"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hint="default" w:ascii="楷体" w:hAnsi="楷体" w:eastAsia="楷体" w:cs="宋体"/>
                <w:spacing w:val="-2"/>
                <w:szCs w:val="21"/>
              </w:rPr>
              <w:t>延期</w:t>
            </w:r>
            <w:r>
              <w:rPr>
                <w:rFonts w:hint="eastAsia" w:ascii="楷体" w:hAnsi="楷体" w:eastAsia="楷体" w:cs="宋体"/>
                <w:spacing w:val="-2"/>
                <w:szCs w:val="21"/>
              </w:rPr>
              <w:t>办理</w:t>
            </w:r>
            <w:r>
              <w:rPr>
                <w:rFonts w:hint="default" w:ascii="楷体" w:hAnsi="楷体" w:eastAsia="楷体" w:cs="宋体"/>
                <w:spacing w:val="-2"/>
                <w:szCs w:val="21"/>
              </w:rPr>
              <w:t>巨额赎回</w:t>
            </w:r>
            <w:r>
              <w:rPr>
                <w:rFonts w:hint="eastAsia" w:ascii="楷体" w:hAnsi="楷体" w:eastAsia="楷体" w:cs="宋体"/>
                <w:spacing w:val="-2"/>
                <w:szCs w:val="21"/>
              </w:rPr>
              <w:t>等</w:t>
            </w:r>
            <w:r>
              <w:rPr>
                <w:rFonts w:hint="default" w:ascii="楷体" w:hAnsi="楷体" w:eastAsia="楷体" w:cs="宋体"/>
                <w:spacing w:val="-2"/>
                <w:szCs w:val="21"/>
              </w:rPr>
              <w:t>措施</w:t>
            </w:r>
            <w:r>
              <w:rPr>
                <w:rFonts w:hint="eastAsia" w:ascii="楷体" w:hAnsi="楷体" w:eastAsia="楷体" w:cs="宋体"/>
                <w:spacing w:val="-2"/>
                <w:szCs w:val="21"/>
              </w:rPr>
              <w:t>，产品管理人将在采取</w:t>
            </w:r>
            <w:r>
              <w:rPr>
                <w:rFonts w:hint="default"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suppressLineNumbers w:val="0"/>
              <w:spacing w:before="0" w:beforeAutospacing="0" w:after="0" w:afterAutospacing="0"/>
              <w:ind w:left="0" w:right="0"/>
              <w:rPr>
                <w:rFonts w:hint="default" w:ascii="楷体" w:hAnsi="楷体" w:eastAsia="楷体" w:cs="宋体"/>
                <w:b/>
                <w:spacing w:val="-2"/>
                <w:szCs w:val="21"/>
                <w:u w:val="single"/>
              </w:rPr>
            </w:pPr>
            <w:r>
              <w:rPr>
                <w:rFonts w:hint="eastAsia" w:ascii="楷体" w:hAnsi="楷体" w:eastAsia="楷体" w:cs="宋体"/>
                <w:b/>
                <w:spacing w:val="-2"/>
                <w:szCs w:val="21"/>
                <w:u w:val="single"/>
              </w:rPr>
              <w:t>2.部分赎回</w:t>
            </w:r>
            <w:r>
              <w:rPr>
                <w:rFonts w:hint="default"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suppressLineNumbers w:val="0"/>
              <w:spacing w:before="0" w:beforeAutospacing="0" w:after="0" w:afterAutospacing="0"/>
              <w:ind w:left="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hint="default"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w:t>
            </w:r>
            <w:r>
              <w:rPr>
                <w:rFonts w:hint="eastAsia" w:ascii="楷体" w:hAnsi="楷体" w:eastAsia="楷体" w:cs="宋体"/>
                <w:b/>
                <w:spacing w:val="-2"/>
                <w:szCs w:val="21"/>
                <w:u w:val="single"/>
                <w:lang w:val="en-US" w:eastAsia="zh-CN"/>
              </w:rPr>
              <w:t>销售</w:t>
            </w:r>
            <w:r>
              <w:rPr>
                <w:rFonts w:hint="eastAsia" w:ascii="楷体" w:hAnsi="楷体" w:eastAsia="楷体" w:cs="宋体"/>
                <w:b/>
                <w:spacing w:val="-2"/>
                <w:szCs w:val="21"/>
                <w:u w:val="single"/>
              </w:rPr>
              <w:t>机构展示为准），未选择撤销的赎回申请，产品</w:t>
            </w:r>
            <w:r>
              <w:rPr>
                <w:rFonts w:hint="default"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连续巨额赎回</w:t>
            </w:r>
          </w:p>
        </w:tc>
        <w:tc>
          <w:tcPr>
            <w:tcW w:w="6614" w:type="dxa"/>
            <w:noWrap w:val="0"/>
            <w:vAlign w:val="center"/>
          </w:tcPr>
          <w:p>
            <w:pPr>
              <w:keepNext w:val="0"/>
              <w:keepLines w:val="0"/>
              <w:suppressLineNumbers w:val="0"/>
              <w:spacing w:before="0" w:beforeAutospacing="0" w:after="0" w:afterAutospacing="0"/>
              <w:ind w:left="0" w:right="53" w:rightChars="25"/>
              <w:rPr>
                <w:rFonts w:hint="eastAsia" w:ascii="楷体" w:hAnsi="楷体" w:eastAsia="楷体" w:cs="宋体"/>
                <w:b/>
                <w:spacing w:val="-2"/>
                <w:szCs w:val="21"/>
                <w:u w:val="single"/>
              </w:rPr>
            </w:pPr>
            <w:r>
              <w:rPr>
                <w:rFonts w:hint="eastAsia" w:ascii="楷体" w:hAnsi="楷体" w:eastAsia="楷体" w:cs="宋体"/>
                <w:spacing w:val="-2"/>
                <w:kern w:val="0"/>
                <w:szCs w:val="21"/>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2"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614" w:type="dxa"/>
            <w:noWrap w:val="0"/>
            <w:vAlign w:val="center"/>
          </w:tcPr>
          <w:p>
            <w:pPr>
              <w:pStyle w:val="36"/>
              <w:keepNext w:val="0"/>
              <w:keepLines w:val="0"/>
              <w:suppressLineNumbers w:val="0"/>
              <w:kinsoku w:val="0"/>
              <w:overflowPunct w:val="0"/>
              <w:spacing w:before="37" w:beforeAutospacing="0" w:after="0" w:afterAutospacing="0"/>
              <w:ind w:left="0" w:right="73" w:rightChars="35"/>
              <w:jc w:val="both"/>
              <w:rPr>
                <w:rFonts w:hint="eastAsia" w:ascii="楷体" w:hAnsi="楷体" w:eastAsia="楷体" w:cs="宋体"/>
                <w:spacing w:val="-2"/>
                <w:sz w:val="21"/>
                <w:szCs w:val="21"/>
              </w:rPr>
            </w:pPr>
            <w:r>
              <w:rPr>
                <w:rFonts w:hint="eastAsia" w:ascii="楷体" w:hAnsi="楷体" w:eastAsia="楷体" w:cs="宋体"/>
                <w:b/>
                <w:bCs/>
                <w:spacing w:val="-2"/>
                <w:sz w:val="21"/>
                <w:szCs w:val="21"/>
                <w:u w:val="single"/>
              </w:rPr>
              <w:t>苏银理财</w:t>
            </w:r>
            <w:r>
              <w:rPr>
                <w:rFonts w:hint="default" w:ascii="楷体" w:hAnsi="楷体" w:eastAsia="楷体" w:cs="宋体"/>
                <w:b/>
                <w:bCs/>
                <w:spacing w:val="-2"/>
                <w:sz w:val="21"/>
                <w:szCs w:val="21"/>
                <w:u w:val="single"/>
              </w:rPr>
              <w:t>参考过往投资经验，依据近期货币市场工具、债券</w:t>
            </w:r>
            <w:r>
              <w:rPr>
                <w:rFonts w:hint="eastAsia" w:ascii="楷体" w:hAnsi="楷体" w:eastAsia="楷体" w:cs="宋体"/>
                <w:b/>
                <w:bCs/>
                <w:spacing w:val="-2"/>
                <w:sz w:val="21"/>
                <w:szCs w:val="21"/>
                <w:u w:val="single"/>
              </w:rPr>
              <w:t>、非标准化债权</w:t>
            </w:r>
            <w:r>
              <w:rPr>
                <w:rFonts w:hint="default" w:ascii="楷体" w:hAnsi="楷体" w:eastAsia="楷体" w:cs="宋体"/>
                <w:b/>
                <w:bCs/>
                <w:spacing w:val="-2"/>
                <w:sz w:val="21"/>
                <w:szCs w:val="21"/>
                <w:u w:val="single"/>
              </w:rPr>
              <w:t>等资产</w:t>
            </w:r>
            <w:r>
              <w:rPr>
                <w:rFonts w:hint="eastAsia" w:ascii="楷体" w:hAnsi="楷体" w:eastAsia="楷体" w:cs="宋体"/>
                <w:b/>
                <w:bCs/>
                <w:spacing w:val="-2"/>
                <w:sz w:val="21"/>
                <w:szCs w:val="21"/>
                <w:u w:val="single"/>
              </w:rPr>
              <w:t>投资</w:t>
            </w:r>
            <w:r>
              <w:rPr>
                <w:rFonts w:hint="default" w:ascii="楷体" w:hAnsi="楷体" w:eastAsia="楷体" w:cs="宋体"/>
                <w:b/>
                <w:bCs/>
                <w:spacing w:val="-2"/>
                <w:sz w:val="21"/>
                <w:szCs w:val="21"/>
                <w:u w:val="single"/>
              </w:rPr>
              <w:t>收益水平，在产品说明书约定的投资范围和投资比例内</w:t>
            </w:r>
            <w:r>
              <w:rPr>
                <w:rFonts w:hint="eastAsia" w:ascii="楷体" w:hAnsi="楷体" w:eastAsia="楷体" w:cs="宋体"/>
                <w:b/>
                <w:bCs/>
                <w:spacing w:val="-2"/>
                <w:sz w:val="21"/>
                <w:szCs w:val="21"/>
                <w:u w:val="single"/>
              </w:rPr>
              <w:t>，综合考虑各份额收取的销售服务费和投资管理费的情况，</w:t>
            </w:r>
            <w:r>
              <w:rPr>
                <w:rFonts w:hint="default" w:ascii="楷体" w:hAnsi="楷体" w:eastAsia="楷体" w:cs="宋体"/>
                <w:b/>
                <w:bCs/>
                <w:spacing w:val="-2"/>
                <w:sz w:val="21"/>
                <w:szCs w:val="21"/>
                <w:u w:val="single"/>
              </w:rPr>
              <w:t>模拟测算得出</w:t>
            </w:r>
            <w:r>
              <w:rPr>
                <w:rFonts w:hint="eastAsia" w:ascii="楷体" w:hAnsi="楷体" w:eastAsia="楷体" w:cs="宋体"/>
                <w:b/>
                <w:bCs/>
                <w:spacing w:val="-2"/>
                <w:sz w:val="21"/>
                <w:szCs w:val="21"/>
                <w:u w:val="single"/>
              </w:rPr>
              <w:t>业绩比较基准。本产品各份额因收取的销售服务费和投资管理费存在差异，业绩比较基准设置将有所不同。</w:t>
            </w:r>
            <w:r>
              <w:rPr>
                <w:rFonts w:hint="eastAsia" w:ascii="楷体" w:hAnsi="楷体" w:eastAsia="楷体" w:cs="宋体"/>
                <w:spacing w:val="-2"/>
                <w:sz w:val="21"/>
                <w:szCs w:val="21"/>
              </w:rPr>
              <w:t>各份额业绩比较基准如下：</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757"/>
              <w:gridCol w:w="1757"/>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周期</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投资周期起始日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rPr>
                  </w:pPr>
                  <w:r>
                    <w:rPr>
                      <w:rFonts w:hint="eastAsia" w:ascii="楷体" w:hAnsi="楷体" w:eastAsia="楷体" w:cs="宋体"/>
                      <w:spacing w:val="-2"/>
                      <w:sz w:val="21"/>
                      <w:szCs w:val="21"/>
                      <w:vertAlign w:val="baseline"/>
                      <w:lang w:val="en-US" w:eastAsia="zh-CN"/>
                    </w:rPr>
                    <w:t>投资周期终止日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业绩比较基准</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1</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2024年1月11日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2024年7月15日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 xml:space="preserve">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9</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F份额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 xml:space="preserve">G份额 </w:t>
                  </w:r>
                  <w:r>
                    <w:rPr>
                      <w:rFonts w:hint="eastAsia" w:ascii="楷体" w:hAnsi="楷体" w:eastAsia="楷体" w:cs="宋体"/>
                      <w:spacing w:val="-2"/>
                      <w:sz w:val="21"/>
                      <w:szCs w:val="21"/>
                    </w:rPr>
                    <w:t>3.1</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%-3.9</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 xml:space="preserve">L份额 </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.00</w:t>
                  </w:r>
                  <w:r>
                    <w:rPr>
                      <w:rFonts w:hint="eastAsia" w:ascii="楷体" w:hAnsi="楷体" w:eastAsia="楷体" w:cs="宋体"/>
                      <w:spacing w:val="-2"/>
                      <w:sz w:val="21"/>
                      <w:szCs w:val="21"/>
                    </w:rPr>
                    <w:t>%-3.8</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2024年7月16日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2025年1月16日</w:t>
                  </w:r>
                </w:p>
              </w:tc>
              <w:tc>
                <w:tcPr>
                  <w:tcW w:w="2041"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2.70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2.7</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2.70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50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L份额 2.60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40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3</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2025年1月17日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2025年7月22日</w:t>
                  </w:r>
                </w:p>
              </w:tc>
              <w:tc>
                <w:tcPr>
                  <w:tcW w:w="2041" w:type="dxa"/>
                  <w:vMerge w:val="restart"/>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A</w:t>
                  </w:r>
                  <w:r>
                    <w:rPr>
                      <w:rFonts w:hint="eastAsia" w:ascii="楷体" w:hAnsi="楷体" w:eastAsia="楷体" w:cs="宋体"/>
                      <w:spacing w:val="-2"/>
                      <w:sz w:val="21"/>
                      <w:szCs w:val="21"/>
                      <w:lang w:val="en-US" w:eastAsia="zh-CN"/>
                    </w:rPr>
                    <w:t>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C</w:t>
                  </w:r>
                  <w:r>
                    <w:rPr>
                      <w:rFonts w:hint="eastAsia" w:ascii="楷体" w:hAnsi="楷体" w:eastAsia="楷体" w:cs="宋体"/>
                      <w:spacing w:val="-2"/>
                      <w:sz w:val="21"/>
                      <w:szCs w:val="21"/>
                      <w:lang w:val="en-US" w:eastAsia="zh-CN"/>
                    </w:rPr>
                    <w:t>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rPr>
                    <w:t>D</w:t>
                  </w:r>
                  <w:r>
                    <w:rPr>
                      <w:rFonts w:hint="eastAsia" w:ascii="楷体" w:hAnsi="楷体" w:eastAsia="楷体" w:cs="宋体"/>
                      <w:spacing w:val="-2"/>
                      <w:sz w:val="21"/>
                      <w:szCs w:val="21"/>
                      <w:lang w:val="en-US" w:eastAsia="zh-CN"/>
                    </w:rPr>
                    <w:t>份额 2.4</w:t>
                  </w:r>
                  <w:r>
                    <w:rPr>
                      <w:rFonts w:hint="eastAsia" w:ascii="楷体" w:hAnsi="楷体" w:eastAsia="楷体" w:cs="宋体"/>
                      <w:spacing w:val="-2"/>
                      <w:sz w:val="21"/>
                      <w:szCs w:val="21"/>
                    </w:rPr>
                    <w:t>5%-3.</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5%</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F份额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G份额 2.40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w:t>
                  </w:r>
                </w:p>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L份额 2.30</w:t>
                  </w:r>
                  <w:r>
                    <w:rPr>
                      <w:rFonts w:hint="eastAsia" w:ascii="楷体" w:hAnsi="楷体" w:eastAsia="楷体" w:cs="宋体"/>
                      <w:spacing w:val="-2"/>
                      <w:sz w:val="21"/>
                      <w:szCs w:val="21"/>
                    </w:rPr>
                    <w:t>%-3.</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4</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default"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2025年7月23日</w:t>
                  </w:r>
                </w:p>
              </w:tc>
              <w:tc>
                <w:tcPr>
                  <w:tcW w:w="1757" w:type="dxa"/>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right="0" w:rightChars="0"/>
                    <w:jc w:val="center"/>
                    <w:textAlignment w:val="auto"/>
                    <w:outlineLvl w:val="9"/>
                    <w:rPr>
                      <w:rFonts w:hint="eastAsia" w:ascii="楷体" w:hAnsi="楷体" w:eastAsia="楷体" w:cs="宋体"/>
                      <w:spacing w:val="-2"/>
                      <w:sz w:val="21"/>
                      <w:szCs w:val="21"/>
                      <w:vertAlign w:val="baseline"/>
                      <w:lang w:val="en-US" w:eastAsia="zh-CN"/>
                    </w:rPr>
                  </w:pPr>
                  <w:r>
                    <w:rPr>
                      <w:rFonts w:hint="eastAsia" w:ascii="楷体" w:hAnsi="楷体" w:eastAsia="楷体" w:cs="宋体"/>
                      <w:spacing w:val="-2"/>
                      <w:sz w:val="21"/>
                      <w:szCs w:val="21"/>
                      <w:vertAlign w:val="baseline"/>
                      <w:lang w:val="en-US" w:eastAsia="zh-CN"/>
                    </w:rPr>
                    <w:t>2026年1月26日</w:t>
                  </w:r>
                </w:p>
              </w:tc>
              <w:tc>
                <w:tcPr>
                  <w:tcW w:w="2041" w:type="dxa"/>
                  <w:vMerge w:val="continue"/>
                  <w:noWrap w:val="0"/>
                  <w:vAlign w:val="center"/>
                </w:tcPr>
                <w:p>
                  <w:pPr>
                    <w:pStyle w:val="36"/>
                    <w:keepNext w:val="0"/>
                    <w:keepLines w:val="0"/>
                    <w:pageBreakBefore w:val="0"/>
                    <w:widowControl w:val="0"/>
                    <w:suppressLineNumbers w:val="0"/>
                    <w:kinsoku w:val="0"/>
                    <w:wordWrap/>
                    <w:overflowPunct w:val="0"/>
                    <w:topLinePunct w:val="0"/>
                    <w:autoSpaceDE w:val="0"/>
                    <w:autoSpaceDN w:val="0"/>
                    <w:bidi w:val="0"/>
                    <w:adjustRightInd w:val="0"/>
                    <w:snapToGrid/>
                    <w:spacing w:before="0" w:beforeAutospacing="0" w:after="0" w:afterAutospacing="0" w:line="0" w:lineRule="atLeast"/>
                    <w:ind w:left="0" w:leftChars="0" w:right="0" w:rightChars="0"/>
                    <w:jc w:val="center"/>
                    <w:textAlignment w:val="auto"/>
                    <w:outlineLvl w:val="9"/>
                    <w:rPr>
                      <w:rFonts w:hint="eastAsia" w:ascii="楷体" w:hAnsi="楷体" w:eastAsia="楷体" w:cs="宋体"/>
                      <w:spacing w:val="-2"/>
                      <w:sz w:val="21"/>
                      <w:szCs w:val="21"/>
                      <w:lang w:val="en-US" w:eastAsia="zh-CN"/>
                    </w:rPr>
                  </w:pPr>
                </w:p>
              </w:tc>
            </w:tr>
          </w:tbl>
          <w:p>
            <w:pPr>
              <w:keepNext w:val="0"/>
              <w:keepLines w:val="0"/>
              <w:suppressLineNumbers w:val="0"/>
              <w:spacing w:before="0" w:beforeAutospacing="0" w:after="0" w:afterAutospacing="0"/>
              <w:ind w:left="59" w:leftChars="0" w:right="73" w:rightChars="3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本产品费用包括托管费、销售服务费、投资管理费、超额业绩报酬以及产品运作和清算中产生的其他费用等。</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1.托管费率：0.02%/年。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2.销售服务费率：</w:t>
            </w:r>
            <w:r>
              <w:rPr>
                <w:rFonts w:hint="default" w:ascii="楷体" w:hAnsi="楷体" w:eastAsia="楷体" w:cs="宋体"/>
                <w:spacing w:val="-2"/>
                <w:szCs w:val="21"/>
              </w:rPr>
              <w:t>0.</w:t>
            </w:r>
            <w:r>
              <w:rPr>
                <w:rFonts w:hint="eastAsia" w:ascii="楷体" w:hAnsi="楷体" w:eastAsia="楷体" w:cs="宋体"/>
                <w:spacing w:val="-2"/>
                <w:szCs w:val="21"/>
                <w:lang w:val="en-US" w:eastAsia="zh-CN"/>
              </w:rPr>
              <w:t>50</w:t>
            </w:r>
            <w:r>
              <w:rPr>
                <w:rFonts w:hint="default" w:ascii="楷体" w:hAnsi="楷体" w:eastAsia="楷体" w:cs="宋体"/>
                <w:spacing w:val="-2"/>
                <w:szCs w:val="21"/>
              </w:rPr>
              <w:t>%/年。</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3.投资管理费率：A份额</w:t>
            </w:r>
            <w:r>
              <w:rPr>
                <w:rFonts w:hint="default" w:ascii="楷体" w:hAnsi="楷体" w:eastAsia="楷体" w:cs="宋体"/>
                <w:spacing w:val="-2"/>
                <w:szCs w:val="21"/>
              </w:rPr>
              <w:t>0.80</w:t>
            </w:r>
            <w:r>
              <w:rPr>
                <w:rFonts w:hint="eastAsia" w:ascii="楷体" w:hAnsi="楷体" w:eastAsia="楷体" w:cs="宋体"/>
                <w:spacing w:val="-2"/>
                <w:szCs w:val="21"/>
              </w:rPr>
              <w:t>%/年，</w:t>
            </w:r>
            <w:r>
              <w:rPr>
                <w:rFonts w:hint="default" w:ascii="楷体" w:hAnsi="楷体" w:eastAsia="楷体" w:cs="宋体"/>
                <w:spacing w:val="-2"/>
                <w:szCs w:val="21"/>
              </w:rPr>
              <w:t>C</w:t>
            </w:r>
            <w:r>
              <w:rPr>
                <w:rFonts w:hint="eastAsia" w:ascii="楷体" w:hAnsi="楷体" w:eastAsia="楷体" w:cs="宋体"/>
                <w:spacing w:val="-2"/>
                <w:szCs w:val="21"/>
              </w:rPr>
              <w:t>份额</w:t>
            </w:r>
            <w:r>
              <w:rPr>
                <w:rFonts w:hint="default" w:ascii="楷体" w:hAnsi="楷体" w:eastAsia="楷体" w:cs="宋体"/>
                <w:spacing w:val="-2"/>
                <w:szCs w:val="21"/>
              </w:rPr>
              <w:t>0.7</w:t>
            </w:r>
            <w:r>
              <w:rPr>
                <w:rFonts w:hint="eastAsia" w:ascii="楷体" w:hAnsi="楷体" w:eastAsia="楷体" w:cs="宋体"/>
                <w:spacing w:val="-2"/>
                <w:szCs w:val="21"/>
                <w:lang w:val="en-US" w:eastAsia="zh-CN"/>
              </w:rPr>
              <w:t>0</w:t>
            </w:r>
            <w:r>
              <w:rPr>
                <w:rFonts w:hint="eastAsia" w:ascii="楷体" w:hAnsi="楷体" w:eastAsia="楷体" w:cs="宋体"/>
                <w:spacing w:val="-2"/>
                <w:szCs w:val="21"/>
              </w:rPr>
              <w:t>%/年，</w:t>
            </w:r>
            <w:r>
              <w:rPr>
                <w:rFonts w:hint="default" w:ascii="楷体" w:hAnsi="楷体" w:eastAsia="楷体" w:cs="宋体"/>
                <w:spacing w:val="-2"/>
                <w:szCs w:val="21"/>
              </w:rPr>
              <w:t>D</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6</w:t>
            </w:r>
            <w:r>
              <w:rPr>
                <w:rFonts w:hint="default" w:ascii="楷体" w:hAnsi="楷体" w:eastAsia="楷体" w:cs="宋体"/>
                <w:spacing w:val="-2"/>
                <w:szCs w:val="21"/>
              </w:rPr>
              <w:t>5</w:t>
            </w:r>
            <w:r>
              <w:rPr>
                <w:rFonts w:hint="eastAsia" w:ascii="楷体" w:hAnsi="楷体" w:eastAsia="楷体" w:cs="宋体"/>
                <w:spacing w:val="-2"/>
                <w:szCs w:val="21"/>
              </w:rPr>
              <w:t>%/年</w:t>
            </w:r>
            <w:r>
              <w:rPr>
                <w:rFonts w:hint="eastAsia" w:ascii="楷体" w:hAnsi="楷体" w:eastAsia="楷体" w:cs="宋体"/>
                <w:spacing w:val="-2"/>
                <w:szCs w:val="21"/>
                <w:lang w:eastAsia="zh-CN"/>
              </w:rPr>
              <w:t>，</w:t>
            </w:r>
            <w:r>
              <w:rPr>
                <w:rFonts w:hint="eastAsia" w:ascii="楷体" w:hAnsi="楷体" w:eastAsia="楷体" w:cs="宋体"/>
                <w:spacing w:val="-2"/>
                <w:szCs w:val="21"/>
                <w:lang w:val="en-US" w:eastAsia="zh-CN"/>
              </w:rPr>
              <w:t>F</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80</w:t>
            </w:r>
            <w:r>
              <w:rPr>
                <w:rFonts w:hint="eastAsia" w:ascii="楷体" w:hAnsi="楷体" w:eastAsia="楷体" w:cs="宋体"/>
                <w:spacing w:val="-2"/>
                <w:szCs w:val="21"/>
              </w:rPr>
              <w:t>%/年，</w:t>
            </w:r>
            <w:r>
              <w:rPr>
                <w:rFonts w:hint="eastAsia" w:ascii="楷体" w:hAnsi="楷体" w:eastAsia="楷体" w:cs="宋体"/>
                <w:spacing w:val="-2"/>
                <w:szCs w:val="21"/>
                <w:lang w:val="en-US" w:eastAsia="zh-CN"/>
              </w:rPr>
              <w:t>G</w:t>
            </w:r>
            <w:r>
              <w:rPr>
                <w:rFonts w:hint="eastAsia" w:ascii="楷体" w:hAnsi="楷体" w:eastAsia="楷体" w:cs="宋体"/>
                <w:spacing w:val="-2"/>
                <w:szCs w:val="21"/>
              </w:rPr>
              <w:t>份额</w:t>
            </w:r>
            <w:r>
              <w:rPr>
                <w:rFonts w:hint="default" w:ascii="楷体" w:hAnsi="楷体" w:eastAsia="楷体" w:cs="宋体"/>
                <w:spacing w:val="-2"/>
                <w:szCs w:val="21"/>
              </w:rPr>
              <w:t>0.</w:t>
            </w:r>
            <w:r>
              <w:rPr>
                <w:rFonts w:hint="eastAsia" w:ascii="楷体" w:hAnsi="楷体" w:eastAsia="楷体" w:cs="宋体"/>
                <w:spacing w:val="-2"/>
                <w:szCs w:val="21"/>
                <w:lang w:val="en-US" w:eastAsia="zh-CN"/>
              </w:rPr>
              <w:t>7</w:t>
            </w:r>
            <w:r>
              <w:rPr>
                <w:rFonts w:hint="default" w:ascii="楷体" w:hAnsi="楷体" w:eastAsia="楷体" w:cs="宋体"/>
                <w:spacing w:val="-2"/>
                <w:szCs w:val="21"/>
              </w:rPr>
              <w:t>0</w:t>
            </w:r>
            <w:r>
              <w:rPr>
                <w:rFonts w:hint="eastAsia" w:ascii="楷体" w:hAnsi="楷体" w:eastAsia="楷体" w:cs="宋体"/>
                <w:spacing w:val="-2"/>
                <w:szCs w:val="21"/>
              </w:rPr>
              <w:t>%/年，</w:t>
            </w:r>
            <w:r>
              <w:rPr>
                <w:rFonts w:hint="eastAsia" w:ascii="楷体" w:hAnsi="楷体" w:eastAsia="楷体" w:cs="宋体"/>
                <w:spacing w:val="-2"/>
                <w:szCs w:val="21"/>
                <w:lang w:val="en-US" w:eastAsia="zh-CN"/>
              </w:rPr>
              <w:t>L</w:t>
            </w:r>
            <w:r>
              <w:rPr>
                <w:rFonts w:hint="default" w:ascii="楷体" w:hAnsi="楷体" w:eastAsia="楷体" w:cs="宋体"/>
                <w:spacing w:val="-2"/>
                <w:szCs w:val="21"/>
              </w:rPr>
              <w:t>份额0.</w:t>
            </w:r>
            <w:r>
              <w:rPr>
                <w:rFonts w:hint="eastAsia" w:ascii="楷体" w:hAnsi="楷体" w:eastAsia="楷体" w:cs="宋体"/>
                <w:spacing w:val="-2"/>
                <w:szCs w:val="21"/>
                <w:lang w:val="en-US" w:eastAsia="zh-CN"/>
              </w:rPr>
              <w:t>80</w:t>
            </w:r>
            <w:r>
              <w:rPr>
                <w:rFonts w:hint="default" w:ascii="楷体" w:hAnsi="楷体" w:eastAsia="楷体" w:cs="宋体"/>
                <w:spacing w:val="-2"/>
                <w:szCs w:val="21"/>
              </w:rPr>
              <w:t>%/年</w:t>
            </w:r>
            <w:r>
              <w:rPr>
                <w:rFonts w:hint="eastAsia" w:ascii="楷体" w:hAnsi="楷体" w:eastAsia="楷体" w:cs="宋体"/>
                <w:spacing w:val="-2"/>
                <w:szCs w:val="21"/>
              </w:rPr>
              <w:t>。</w:t>
            </w:r>
          </w:p>
          <w:p>
            <w:pPr>
              <w:keepNext w:val="0"/>
              <w:keepLines w:val="0"/>
              <w:suppressLineNumbers w:val="0"/>
              <w:spacing w:before="0" w:beforeAutospacing="0" w:after="0" w:afterAutospacing="0"/>
              <w:ind w:left="59" w:right="73" w:rightChars="35"/>
              <w:rPr>
                <w:rFonts w:hint="default" w:ascii="宋体" w:hAnsi="宋体" w:eastAsia="宋体" w:cs="宋体"/>
                <w:sz w:val="24"/>
                <w:szCs w:val="24"/>
              </w:rPr>
            </w:pPr>
            <w:r>
              <w:rPr>
                <w:rFonts w:hint="eastAsia" w:ascii="楷体" w:hAnsi="楷体" w:eastAsia="楷体" w:cs="宋体"/>
                <w:spacing w:val="-2"/>
                <w:szCs w:val="21"/>
              </w:rPr>
              <w:t>4.超额业绩报酬：管理人按投资周期收取超额业绩报酬。假设单一投资周期的各份额实际年化投资收益在扣除托管费、销售服务费、投资管理费以及运作产品所必须缴纳的税费后为R：</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highlight w:val="none"/>
              </w:rPr>
              <w:t>若</w:t>
            </w:r>
            <w:r>
              <w:rPr>
                <w:rFonts w:hint="eastAsia" w:ascii="楷体" w:hAnsi="楷体" w:eastAsia="楷体" w:cs="宋体"/>
                <w:spacing w:val="-2"/>
                <w:szCs w:val="21"/>
              </w:rPr>
              <w:t>R&lt;业绩比较基准下限+（业绩比较基准上限-业绩比较基准下限）*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5%，管理人无超额业绩报酬；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5%≤R&lt;业绩比较基准上限，管理人对超出【业绩比较基准下限+（业绩比较基准上限-业绩比较基准下限）*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w:t>
            </w:r>
            <w:r>
              <w:rPr>
                <w:rFonts w:hint="eastAsia" w:ascii="楷体" w:hAnsi="楷体" w:eastAsia="楷体" w:cs="宋体"/>
                <w:spacing w:val="-2"/>
                <w:szCs w:val="21"/>
                <w:lang w:val="en-US" w:eastAsia="zh-CN"/>
              </w:rPr>
              <w:t>的</w:t>
            </w:r>
            <w:r>
              <w:rPr>
                <w:rFonts w:hint="eastAsia" w:ascii="楷体" w:hAnsi="楷体" w:eastAsia="楷体" w:cs="宋体"/>
                <w:spacing w:val="-2"/>
                <w:szCs w:val="21"/>
              </w:rPr>
              <w:t>部分收取40%的超额业绩报酬；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若R≥业绩比较基准上限，管理人对【业绩比较基准下限+（业绩比较基准上限-业绩比较基准下限）*</w:t>
            </w:r>
            <w:r>
              <w:rPr>
                <w:rFonts w:hint="eastAsia" w:ascii="楷体" w:hAnsi="楷体" w:eastAsia="楷体" w:cs="宋体"/>
                <w:spacing w:val="-2"/>
                <w:szCs w:val="21"/>
                <w:lang w:val="en-US" w:eastAsia="zh-CN"/>
              </w:rPr>
              <w:t>7</w:t>
            </w:r>
            <w:r>
              <w:rPr>
                <w:rFonts w:hint="eastAsia" w:ascii="楷体" w:hAnsi="楷体" w:eastAsia="楷体" w:cs="宋体"/>
                <w:spacing w:val="-2"/>
                <w:szCs w:val="21"/>
              </w:rPr>
              <w:t>5%】与业绩比较基准</w:t>
            </w:r>
            <w:r>
              <w:rPr>
                <w:rFonts w:hint="eastAsia" w:ascii="楷体" w:hAnsi="楷体" w:eastAsia="楷体" w:cs="宋体"/>
                <w:spacing w:val="-2"/>
                <w:szCs w:val="21"/>
                <w:lang w:val="en-US" w:eastAsia="zh-CN"/>
              </w:rPr>
              <w:t>上</w:t>
            </w:r>
            <w:r>
              <w:rPr>
                <w:rFonts w:hint="eastAsia" w:ascii="楷体" w:hAnsi="楷体" w:eastAsia="楷体" w:cs="宋体"/>
                <w:spacing w:val="-2"/>
                <w:szCs w:val="21"/>
              </w:rPr>
              <w:t>限之间的部分，收取40%的超额业绩报酬；管理人对超出业绩比较基准上限的部分，收取60%的超额业绩报酬。</w:t>
            </w:r>
          </w:p>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keepNext w:val="0"/>
              <w:keepLines w:val="0"/>
              <w:suppressLineNumbers w:val="0"/>
              <w:spacing w:before="0" w:beforeAutospacing="0" w:after="0" w:afterAutospacing="0"/>
              <w:ind w:left="59" w:right="73" w:rightChars="35"/>
              <w:rPr>
                <w:rFonts w:hint="default" w:ascii="楷体" w:hAnsi="楷体" w:eastAsia="楷体" w:cs="Times New Roman"/>
                <w:sz w:val="24"/>
                <w:szCs w:val="24"/>
              </w:rPr>
            </w:pPr>
            <w:r>
              <w:rPr>
                <w:rFonts w:hint="eastAsia" w:ascii="楷体" w:hAnsi="楷体" w:eastAsia="楷体" w:cs="宋体"/>
                <w:spacing w:val="-2"/>
                <w:szCs w:val="21"/>
              </w:rPr>
              <w:t>产品存续期内苏银理财可</w:t>
            </w:r>
            <w:r>
              <w:rPr>
                <w:rFonts w:hint="eastAsia" w:ascii="楷体" w:hAnsi="楷体" w:eastAsia="楷体" w:cs="宋体"/>
                <w:spacing w:val="-2"/>
                <w:szCs w:val="21"/>
                <w:highlight w:val="none"/>
              </w:rPr>
              <w:t>对</w:t>
            </w:r>
            <w:r>
              <w:rPr>
                <w:rFonts w:hint="eastAsia" w:ascii="楷体" w:hAnsi="楷体" w:eastAsia="楷体" w:cs="宋体"/>
                <w:spacing w:val="-2"/>
                <w:szCs w:val="21"/>
                <w:highlight w:val="none"/>
                <w:lang w:val="en-US" w:eastAsia="zh-CN"/>
              </w:rPr>
              <w:t>费用进行调整</w:t>
            </w:r>
            <w:r>
              <w:rPr>
                <w:rFonts w:hint="eastAsia" w:ascii="楷体" w:hAnsi="楷体" w:eastAsia="楷体" w:cs="宋体"/>
                <w:spacing w:val="-2"/>
                <w:szCs w:val="21"/>
                <w:highlight w:val="none"/>
              </w:rPr>
              <w:t>，实</w:t>
            </w:r>
            <w:r>
              <w:rPr>
                <w:rFonts w:hint="eastAsia" w:ascii="楷体" w:hAnsi="楷体" w:eastAsia="楷体" w:cs="宋体"/>
                <w:spacing w:val="-2"/>
                <w:szCs w:val="21"/>
              </w:rPr>
              <w:t>际收取费率以管理人公告为准。</w:t>
            </w:r>
            <w:r>
              <w:rPr>
                <w:rFonts w:hint="eastAsia" w:ascii="楷体" w:hAnsi="楷体" w:eastAsia="楷体" w:cs="宋体"/>
                <w:b/>
                <w:spacing w:val="-2"/>
                <w:szCs w:val="21"/>
                <w:u w:val="single"/>
              </w:rPr>
              <w:t>本产品设置有多个份额，</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按照设置的销售对象和销售起点进行销售，</w:t>
            </w:r>
            <w:r>
              <w:rPr>
                <w:rFonts w:hint="eastAsia" w:ascii="楷体" w:hAnsi="楷体" w:eastAsia="楷体" w:cs="宋体"/>
                <w:b/>
                <w:spacing w:val="-2"/>
                <w:szCs w:val="21"/>
                <w:u w:val="single"/>
                <w:lang w:eastAsia="zh-CN"/>
              </w:rPr>
              <w:t>各份额</w:t>
            </w:r>
            <w:r>
              <w:rPr>
                <w:rFonts w:hint="eastAsia" w:ascii="楷体" w:hAnsi="楷体" w:eastAsia="楷体" w:cs="宋体"/>
                <w:b/>
                <w:spacing w:val="-2"/>
                <w:szCs w:val="21"/>
                <w:u w:val="single"/>
              </w:rPr>
              <w:t>实际收取的销售服务费率和投资管理费率可能存在差异，客户根据产品销售时设置的条件自主选择购买。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估值日</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本产品每日估值，每个开放日结束后2个工作日内通过本理财产品说明书约定方式披露上一投资周期终止日的单位净值、份额累计净值、认/申购价格和赎回价格。详见下文“十一、产品估值”。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bottom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leftChars="0"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暂停估值</w:t>
            </w:r>
          </w:p>
        </w:tc>
        <w:tc>
          <w:tcPr>
            <w:tcW w:w="6614" w:type="dxa"/>
            <w:tcBorders>
              <w:bottom w:val="single" w:color="auto" w:sz="4" w:space="0"/>
            </w:tcBorders>
            <w:noWrap w:val="0"/>
            <w:vAlign w:val="center"/>
          </w:tcPr>
          <w:p>
            <w:pPr>
              <w:keepNext w:val="0"/>
              <w:keepLines w:val="0"/>
              <w:suppressLineNumbers w:val="0"/>
              <w:spacing w:before="0" w:beforeAutospacing="0" w:after="0" w:afterAutospacing="0"/>
              <w:ind w:left="59" w:leftChars="0" w:right="73" w:rightChars="35"/>
              <w:rPr>
                <w:rFonts w:hint="eastAsia" w:ascii="楷体" w:hAnsi="楷体" w:eastAsia="楷体" w:cs="宋体"/>
                <w:spacing w:val="-2"/>
                <w:szCs w:val="21"/>
              </w:rPr>
            </w:pPr>
            <w:r>
              <w:rPr>
                <w:rFonts w:hint="eastAsia" w:ascii="楷体" w:hAnsi="楷体" w:eastAsia="楷体" w:cs="宋体"/>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收益分配</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hint="default" w:ascii="楷体" w:hAnsi="楷体" w:eastAsia="楷体" w:cs="宋体"/>
                <w:spacing w:val="-2"/>
                <w:szCs w:val="21"/>
              </w:rPr>
              <w:t>详见下文</w:t>
            </w:r>
            <w:r>
              <w:rPr>
                <w:rFonts w:hint="eastAsia" w:ascii="楷体" w:hAnsi="楷体" w:eastAsia="楷体" w:cs="宋体"/>
                <w:spacing w:val="-2"/>
                <w:szCs w:val="21"/>
              </w:rPr>
              <w:t>“九、收益分配”。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信息披露</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278" w:type="dxa"/>
            <w:tcBorders>
              <w:top w:val="single" w:color="auto" w:sz="4" w:space="0"/>
              <w:left w:val="single" w:color="auto" w:sz="4" w:space="0"/>
              <w:bottom w:val="single" w:color="auto" w:sz="4" w:space="0"/>
              <w:right w:val="single" w:color="auto" w:sz="4" w:space="0"/>
            </w:tcBorders>
            <w:noWrap w:val="0"/>
            <w:vAlign w:val="center"/>
          </w:tcPr>
          <w:p>
            <w:pPr>
              <w:pStyle w:val="36"/>
              <w:keepNext w:val="0"/>
              <w:keepLines w:val="0"/>
              <w:suppressLineNumbers w:val="0"/>
              <w:kinsoku w:val="0"/>
              <w:overflowPunct w:val="0"/>
              <w:spacing w:before="18" w:beforeAutospacing="0" w:after="0" w:afterAutospacing="0"/>
              <w:ind w:left="55" w:right="0"/>
              <w:jc w:val="both"/>
              <w:rPr>
                <w:rFonts w:hint="eastAsia" w:ascii="楷体" w:hAnsi="楷体" w:eastAsia="楷体" w:cs="宋体"/>
                <w:b/>
                <w:spacing w:val="-2"/>
                <w:sz w:val="21"/>
                <w:szCs w:val="21"/>
              </w:rPr>
            </w:pPr>
            <w:r>
              <w:rPr>
                <w:rFonts w:hint="eastAsia" w:ascii="楷体" w:hAnsi="楷体" w:eastAsia="楷体" w:cs="宋体"/>
                <w:b/>
                <w:spacing w:val="-2"/>
                <w:sz w:val="21"/>
                <w:szCs w:val="21"/>
              </w:rPr>
              <w:t>税款</w:t>
            </w:r>
          </w:p>
        </w:tc>
        <w:tc>
          <w:tcPr>
            <w:tcW w:w="6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59" w:right="73" w:rightChars="35"/>
              <w:rPr>
                <w:rFonts w:hint="eastAsia"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w:t>
      </w:r>
      <w:r>
        <w:rPr>
          <w:rFonts w:hint="eastAsia" w:ascii="楷体" w:hAnsi="楷体" w:eastAsia="楷体"/>
          <w:sz w:val="24"/>
          <w:szCs w:val="24"/>
          <w:highlight w:val="none"/>
        </w:rPr>
        <w:t>任公司，苏银理财系江苏银行股份有限公司全资控股的银行理财子公司。公司成立于</w:t>
      </w:r>
      <w:r>
        <w:rPr>
          <w:rFonts w:hint="eastAsia" w:ascii="楷体" w:hAnsi="楷体" w:eastAsia="楷体"/>
          <w:sz w:val="24"/>
          <w:szCs w:val="24"/>
        </w:rPr>
        <w:t>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sz w:val="24"/>
          <w:szCs w:val="24"/>
          <w:lang w:val="en-US" w:eastAsia="zh-CN"/>
        </w:rPr>
        <w:t>监管机构</w:t>
      </w:r>
      <w:r>
        <w:rPr>
          <w:rFonts w:hint="eastAsia" w:ascii="楷体" w:hAnsi="楷体" w:eastAsia="楷体"/>
          <w:sz w:val="24"/>
          <w:szCs w:val="24"/>
        </w:rPr>
        <w:t>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本理财产品合同</w:t>
      </w:r>
      <w:r>
        <w:rPr>
          <w:rFonts w:hint="eastAsia" w:ascii="楷体" w:hAnsi="楷体" w:eastAsia="楷体"/>
          <w:sz w:val="24"/>
          <w:szCs w:val="24"/>
        </w:rPr>
        <w:t>的</w:t>
      </w:r>
      <w:r>
        <w:rPr>
          <w:rFonts w:ascii="楷体" w:hAnsi="楷体" w:eastAsia="楷体"/>
          <w:sz w:val="24"/>
          <w:szCs w:val="24"/>
        </w:rPr>
        <w:t>约定，管理、运用和处分理财计划资金。</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按照</w:t>
      </w:r>
      <w:r>
        <w:rPr>
          <w:rFonts w:ascii="楷体" w:hAnsi="楷体" w:eastAsia="楷体"/>
          <w:sz w:val="24"/>
          <w:szCs w:val="24"/>
        </w:rPr>
        <w:t>本理财</w:t>
      </w:r>
      <w:r>
        <w:rPr>
          <w:rFonts w:hint="eastAsia" w:ascii="楷体" w:hAnsi="楷体" w:eastAsia="楷体"/>
          <w:sz w:val="24"/>
          <w:szCs w:val="24"/>
        </w:rPr>
        <w:t>产品</w:t>
      </w:r>
      <w:r>
        <w:rPr>
          <w:rFonts w:ascii="楷体" w:hAnsi="楷体" w:eastAsia="楷体"/>
          <w:sz w:val="24"/>
          <w:szCs w:val="24"/>
        </w:rPr>
        <w:t>合同的约定，及时、足额获得投资管理费。</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有权根据本理财产品合同的约定提前终止</w:t>
      </w:r>
      <w:r>
        <w:rPr>
          <w:rFonts w:hint="eastAsia" w:ascii="楷体" w:hAnsi="楷体" w:eastAsia="楷体"/>
          <w:sz w:val="24"/>
          <w:szCs w:val="24"/>
        </w:rPr>
        <w:t>或</w:t>
      </w:r>
      <w:r>
        <w:rPr>
          <w:rFonts w:ascii="楷体" w:hAnsi="楷体" w:eastAsia="楷体"/>
          <w:sz w:val="24"/>
          <w:szCs w:val="24"/>
        </w:rPr>
        <w:t>延长</w:t>
      </w:r>
      <w:r>
        <w:rPr>
          <w:rFonts w:hint="eastAsia" w:ascii="楷体" w:hAnsi="楷体" w:eastAsia="楷体"/>
          <w:sz w:val="24"/>
          <w:szCs w:val="24"/>
        </w:rPr>
        <w:t>本</w:t>
      </w:r>
      <w:r>
        <w:rPr>
          <w:rFonts w:ascii="楷体" w:hAnsi="楷体" w:eastAsia="楷体"/>
          <w:sz w:val="24"/>
          <w:szCs w:val="24"/>
        </w:rPr>
        <w:t>理财产品的期限。</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w:t>
      </w:r>
      <w:r>
        <w:rPr>
          <w:rFonts w:hint="eastAsia" w:ascii="楷体" w:hAnsi="楷体" w:eastAsia="楷体"/>
          <w:sz w:val="24"/>
          <w:szCs w:val="24"/>
        </w:rPr>
        <w:t>调整</w:t>
      </w:r>
      <w:r>
        <w:rPr>
          <w:rFonts w:ascii="楷体" w:hAnsi="楷体" w:eastAsia="楷体"/>
          <w:sz w:val="24"/>
          <w:szCs w:val="24"/>
        </w:rPr>
        <w:t>本</w:t>
      </w:r>
      <w:r>
        <w:rPr>
          <w:rFonts w:hint="eastAsia" w:ascii="楷体" w:hAnsi="楷体" w:eastAsia="楷体"/>
          <w:sz w:val="24"/>
          <w:szCs w:val="24"/>
        </w:rPr>
        <w:t>理财</w:t>
      </w:r>
      <w:r>
        <w:rPr>
          <w:rFonts w:ascii="楷体" w:hAnsi="楷体" w:eastAsia="楷体"/>
          <w:sz w:val="24"/>
          <w:szCs w:val="24"/>
        </w:rPr>
        <w:t>产品的认购规模</w:t>
      </w:r>
      <w:r>
        <w:rPr>
          <w:rFonts w:hint="eastAsia" w:ascii="楷体" w:hAnsi="楷体" w:eastAsia="楷体"/>
          <w:sz w:val="24"/>
          <w:szCs w:val="24"/>
        </w:rPr>
        <w:t>上限</w:t>
      </w:r>
      <w:r>
        <w:rPr>
          <w:rFonts w:ascii="楷体" w:hAnsi="楷体" w:eastAsia="楷体"/>
          <w:sz w:val="24"/>
          <w:szCs w:val="24"/>
        </w:rPr>
        <w:t>、认购起点、</w:t>
      </w:r>
      <w:r>
        <w:rPr>
          <w:rFonts w:hint="eastAsia" w:ascii="楷体" w:hAnsi="楷体" w:eastAsia="楷体"/>
          <w:sz w:val="24"/>
          <w:szCs w:val="24"/>
        </w:rPr>
        <w:t>认购</w:t>
      </w:r>
      <w:r>
        <w:rPr>
          <w:rFonts w:ascii="楷体" w:hAnsi="楷体" w:eastAsia="楷体"/>
          <w:sz w:val="24"/>
          <w:szCs w:val="24"/>
        </w:rPr>
        <w:t>金额上限、认购资金的最</w:t>
      </w:r>
      <w:r>
        <w:rPr>
          <w:rFonts w:hint="eastAsia" w:ascii="楷体" w:hAnsi="楷体" w:eastAsia="楷体"/>
          <w:sz w:val="24"/>
          <w:szCs w:val="24"/>
          <w:lang w:val="en-US" w:eastAsia="zh-CN"/>
        </w:rPr>
        <w:t>低</w:t>
      </w:r>
      <w:r>
        <w:rPr>
          <w:rFonts w:ascii="楷体" w:hAnsi="楷体" w:eastAsia="楷体"/>
          <w:sz w:val="24"/>
          <w:szCs w:val="24"/>
        </w:rPr>
        <w:t>金额等</w:t>
      </w:r>
      <w:r>
        <w:rPr>
          <w:rFonts w:hint="eastAsia" w:ascii="楷体" w:hAnsi="楷体" w:eastAsia="楷体"/>
          <w:sz w:val="24"/>
          <w:szCs w:val="24"/>
        </w:rPr>
        <w:t>要素</w:t>
      </w:r>
      <w:r>
        <w:rPr>
          <w:rFonts w:ascii="楷体" w:hAnsi="楷体" w:eastAsia="楷体"/>
          <w:sz w:val="24"/>
          <w:szCs w:val="24"/>
        </w:rPr>
        <w:t>。</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w:t>
      </w:r>
      <w:r>
        <w:rPr>
          <w:rFonts w:ascii="楷体" w:hAnsi="楷体" w:eastAsia="楷体"/>
          <w:sz w:val="24"/>
          <w:szCs w:val="24"/>
        </w:rPr>
        <w:t>有权依照法律规定和监管机构的要求将投资者的信息向有权部门或相关机构披露。</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理财产品投资管理人的名义，依照法律法规相关规定以及为理财产品的利益，对被投资的各类基金、公司/</w:t>
      </w:r>
      <w:r>
        <w:rPr>
          <w:rFonts w:hint="eastAsia" w:ascii="楷体" w:hAnsi="楷体" w:eastAsia="楷体"/>
          <w:sz w:val="24"/>
          <w:szCs w:val="24"/>
        </w:rPr>
        <w:t>企业</w:t>
      </w:r>
      <w:r>
        <w:rPr>
          <w:rFonts w:ascii="楷体" w:hAnsi="楷体" w:eastAsia="楷体"/>
          <w:sz w:val="24"/>
          <w:szCs w:val="24"/>
        </w:rPr>
        <w:t>等</w:t>
      </w:r>
      <w:r>
        <w:rPr>
          <w:rFonts w:hint="eastAsia" w:ascii="楷体" w:hAnsi="楷体" w:eastAsia="楷体"/>
          <w:sz w:val="24"/>
          <w:szCs w:val="24"/>
        </w:rPr>
        <w:t>行使</w:t>
      </w:r>
      <w:r>
        <w:rPr>
          <w:rFonts w:ascii="楷体" w:hAnsi="楷体" w:eastAsia="楷体"/>
          <w:sz w:val="24"/>
          <w:szCs w:val="24"/>
        </w:rPr>
        <w:t>出资人</w:t>
      </w:r>
      <w:r>
        <w:rPr>
          <w:rFonts w:hint="eastAsia" w:ascii="楷体" w:hAnsi="楷体" w:eastAsia="楷体"/>
          <w:sz w:val="24"/>
          <w:szCs w:val="24"/>
        </w:rPr>
        <w:t>/投资者</w:t>
      </w:r>
      <w:r>
        <w:rPr>
          <w:rFonts w:ascii="楷体" w:hAnsi="楷体" w:eastAsia="楷体"/>
          <w:sz w:val="24"/>
          <w:szCs w:val="24"/>
        </w:rPr>
        <w:t>权利（</w:t>
      </w:r>
      <w:r>
        <w:rPr>
          <w:rFonts w:hint="eastAsia" w:ascii="楷体" w:hAnsi="楷体" w:eastAsia="楷体"/>
          <w:sz w:val="24"/>
          <w:szCs w:val="24"/>
        </w:rPr>
        <w:t>包括</w:t>
      </w:r>
      <w:r>
        <w:rPr>
          <w:rFonts w:ascii="楷体" w:hAnsi="楷体" w:eastAsia="楷体"/>
          <w:sz w:val="24"/>
          <w:szCs w:val="24"/>
        </w:rPr>
        <w:t>但不限于表决投票的权利）</w:t>
      </w:r>
      <w:r>
        <w:rPr>
          <w:rFonts w:hint="eastAsia" w:ascii="楷体" w:hAnsi="楷体" w:eastAsia="楷体"/>
          <w:sz w:val="24"/>
          <w:szCs w:val="24"/>
        </w:rPr>
        <w:t>以及行使</w:t>
      </w:r>
      <w:r>
        <w:rPr>
          <w:rFonts w:ascii="楷体" w:hAnsi="楷体" w:eastAsia="楷体"/>
          <w:sz w:val="24"/>
          <w:szCs w:val="24"/>
        </w:rPr>
        <w:t>因理财产品投资于证券类基础资产（</w:t>
      </w:r>
      <w:r>
        <w:rPr>
          <w:rFonts w:hint="eastAsia" w:ascii="楷体" w:hAnsi="楷体" w:eastAsia="楷体"/>
          <w:sz w:val="24"/>
          <w:szCs w:val="24"/>
        </w:rPr>
        <w:t>含</w:t>
      </w:r>
      <w:r>
        <w:rPr>
          <w:rFonts w:ascii="楷体" w:hAnsi="楷体" w:eastAsia="楷体"/>
          <w:sz w:val="24"/>
          <w:szCs w:val="24"/>
        </w:rPr>
        <w:t>债券）</w:t>
      </w:r>
      <w:r>
        <w:rPr>
          <w:rFonts w:hint="eastAsia" w:ascii="楷体" w:hAnsi="楷体" w:eastAsia="楷体"/>
          <w:sz w:val="24"/>
          <w:szCs w:val="24"/>
        </w:rPr>
        <w:t>或</w:t>
      </w:r>
      <w:r>
        <w:rPr>
          <w:rFonts w:ascii="楷体" w:hAnsi="楷体" w:eastAsia="楷体"/>
          <w:sz w:val="24"/>
          <w:szCs w:val="24"/>
        </w:rPr>
        <w:t>其他基础资产（</w:t>
      </w:r>
      <w:r>
        <w:rPr>
          <w:rFonts w:hint="eastAsia" w:ascii="楷体" w:hAnsi="楷体" w:eastAsia="楷体"/>
          <w:sz w:val="24"/>
          <w:szCs w:val="24"/>
        </w:rPr>
        <w:t>包括</w:t>
      </w:r>
      <w:r>
        <w:rPr>
          <w:rFonts w:ascii="楷体" w:hAnsi="楷体" w:eastAsia="楷体"/>
          <w:sz w:val="24"/>
          <w:szCs w:val="24"/>
        </w:rPr>
        <w:t>但不限于债权类资产）</w:t>
      </w:r>
      <w:r>
        <w:rPr>
          <w:rFonts w:hint="eastAsia" w:ascii="楷体" w:hAnsi="楷体" w:eastAsia="楷体"/>
          <w:sz w:val="24"/>
          <w:szCs w:val="24"/>
        </w:rPr>
        <w:t>所产生</w:t>
      </w:r>
      <w:r>
        <w:rPr>
          <w:rFonts w:ascii="楷体" w:hAnsi="楷体" w:eastAsia="楷体"/>
          <w:sz w:val="24"/>
          <w:szCs w:val="24"/>
        </w:rPr>
        <w:t>的相关权利。</w:t>
      </w:r>
    </w:p>
    <w:p>
      <w:pPr>
        <w:numPr>
          <w:ilvl w:val="0"/>
          <w:numId w:val="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以</w:t>
      </w:r>
      <w:r>
        <w:rPr>
          <w:rFonts w:ascii="楷体" w:hAnsi="楷体" w:eastAsia="楷体"/>
          <w:sz w:val="24"/>
          <w:szCs w:val="24"/>
        </w:rPr>
        <w:t>理财产品投资管理人的名义，依照</w:t>
      </w:r>
      <w:r>
        <w:rPr>
          <w:rFonts w:hint="eastAsia" w:ascii="楷体" w:hAnsi="楷体" w:eastAsia="楷体"/>
          <w:sz w:val="24"/>
          <w:szCs w:val="24"/>
        </w:rPr>
        <w:t>法律法规相关规定以及代表理财产品份额持有人的利益行使代为追索的权利（包括但不限于提起诉讼/仲裁、申请保全/执行的权利）或者实施其他法律行为。</w:t>
      </w:r>
    </w:p>
    <w:p>
      <w:pPr>
        <w:numPr>
          <w:ilvl w:val="0"/>
          <w:numId w:val="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法律法规、监管政策和本理财计划文件约定的其他权利。</w:t>
      </w:r>
    </w:p>
    <w:p>
      <w:pPr>
        <w:numPr>
          <w:ilvl w:val="0"/>
          <w:numId w:val="2"/>
        </w:numPr>
        <w:tabs>
          <w:tab w:val="left" w:pos="1134"/>
        </w:tabs>
        <w:ind w:firstLine="562" w:firstLineChars="200"/>
        <w:outlineLvl w:val="1"/>
        <w:rPr>
          <w:rFonts w:hint="eastAsia" w:ascii="楷体" w:hAnsi="楷体" w:eastAsia="楷体"/>
          <w:b/>
          <w:sz w:val="28"/>
          <w:szCs w:val="28"/>
          <w:highlight w:val="none"/>
        </w:rPr>
      </w:pPr>
      <w:r>
        <w:rPr>
          <w:rFonts w:hint="eastAsia" w:ascii="楷体" w:hAnsi="楷体" w:eastAsia="楷体"/>
          <w:b/>
          <w:sz w:val="28"/>
          <w:szCs w:val="28"/>
          <w:highlight w:val="none"/>
        </w:rPr>
        <w:t>销售机构</w:t>
      </w:r>
    </w:p>
    <w:p>
      <w:pPr>
        <w:ind w:firstLine="480" w:firstLineChars="200"/>
        <w:rPr>
          <w:rFonts w:hint="eastAsia" w:ascii="楷体" w:hAnsi="楷体" w:eastAsia="楷体"/>
          <w:b w:val="0"/>
          <w:bCs w:val="0"/>
          <w:sz w:val="24"/>
          <w:szCs w:val="24"/>
          <w:highlight w:val="none"/>
          <w:u w:val="none"/>
          <w:lang w:val="en-US" w:eastAsia="zh-CN"/>
        </w:rPr>
      </w:pPr>
      <w:r>
        <w:rPr>
          <w:rFonts w:hint="eastAsia" w:ascii="楷体" w:hAnsi="楷体" w:eastAsia="楷体"/>
          <w:sz w:val="24"/>
          <w:szCs w:val="24"/>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bCs/>
          <w:sz w:val="24"/>
          <w:szCs w:val="24"/>
          <w:highlight w:val="none"/>
          <w:u w:val="single"/>
        </w:rPr>
        <w:t>销售机构负责理财产品宣传推广、投资者风险承受能力评估和投资者适当性管理、理财产品客户身份识别及反洗钱、反恐怖融资及非居民金融账户涉税信息调查、理财产品份额认购/申购/赎回、协助管理人与投资者订立理财产品合同、协助投资者与管理人沟通、接受投资者咨询和客户维护等销售服务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6"/>
        <w:gridCol w:w="3616"/>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default"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份额</w:t>
            </w:r>
          </w:p>
        </w:tc>
        <w:tc>
          <w:tcPr>
            <w:tcW w:w="0" w:type="auto"/>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b/>
                <w:bCs/>
                <w:i w:val="0"/>
                <w:iCs w:val="0"/>
                <w:color w:val="000000"/>
                <w:sz w:val="20"/>
                <w:szCs w:val="20"/>
                <w:u w:val="none"/>
              </w:rPr>
            </w:pPr>
            <w:r>
              <w:rPr>
                <w:rFonts w:hint="eastAsia" w:ascii="楷体" w:hAnsi="楷体" w:eastAsia="楷体" w:cs="楷体"/>
                <w:b/>
                <w:bCs/>
                <w:i w:val="0"/>
                <w:iCs w:val="0"/>
                <w:color w:val="000000"/>
                <w:kern w:val="0"/>
                <w:sz w:val="20"/>
                <w:szCs w:val="20"/>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A份额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C份额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D份额</w:t>
            </w:r>
          </w:p>
        </w:tc>
        <w:tc>
          <w:tcPr>
            <w:tcW w:w="0" w:type="auto"/>
            <w:tcBorders>
              <w:top w:val="single" w:color="000000" w:sz="4" w:space="0"/>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江苏银行股份有限公司</w:t>
            </w:r>
          </w:p>
        </w:tc>
        <w:tc>
          <w:tcPr>
            <w:tcW w:w="0" w:type="auto"/>
            <w:tcBorders>
              <w:top w:val="single" w:color="000000" w:sz="4" w:space="0"/>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F份额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北京农村商业银行股份有限公司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宁波慈溪农村商业银行股份有限公司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浙江瑞安农村商业银行股份有限公司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九江银行股份有限公司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广州农村商业银行股份有限公司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莱商银行股份有限公司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华侨银行有限公司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浙江江山农村商业银行股份有限公司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浙江龙湾农村商业银行股份有限公司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潍坊银行股份有限公司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中邮邮惠万家银行有限责任公司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苏银理财有限责任公司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浙江乐清农村商业银行股份有限公司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浙江新昌农村商业银行股份有限公司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浙江义乌农村商业银行股份有限公司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浙江长兴农村商业银行股份有限公司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福建海峡银行股份有限公司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浙江萧山农村商业银行股份有限公司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G份额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徽商银行股份有限公司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浙江武义农村商业银行股份有限公司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深圳农村商业银行股份有限公司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18"/>
                <w:szCs w:val="18"/>
                <w:u w:val="none"/>
                <w:lang w:val="en-US" w:eastAsia="zh-CN" w:bidi="ar"/>
              </w:rPr>
              <w:t>浙江舟山定海海洋农村商业银行股份有限公司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苏州银行股份有限公司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宁波通商银行股份有限公司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杭州联合农村商业银行股份有限公司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浙江淳安农村商业银行股份有限公司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浙江绍兴瑞丰农村商业银行股份有限公司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浙江嘉善农村商业银行股份有限公司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浙江温州鹿城农村商业银行股份有限公司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浙江海宁农村商业银行股份有限公司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山西银行股份有限公司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浙江安吉农村商业银行股份有限公司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浙江余杭农村商业银行股份有限公司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浙江上虞农村商业银行股份有限公司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浙江永康农村商业银行股份有限公司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L份额</w:t>
            </w:r>
          </w:p>
        </w:tc>
        <w:tc>
          <w:tcPr>
            <w:tcW w:w="0" w:type="auto"/>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兴业银行股份有限公司</w:t>
            </w:r>
          </w:p>
        </w:tc>
        <w:tc>
          <w:tcPr>
            <w:tcW w:w="0" w:type="auto"/>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江苏邳州农村商业银行股份有限公司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江苏淮安农村商业银行股份有限公司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上海农村商业银行股份有限公司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江苏紫金农村商业银行股份有限公司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江苏张家港农村商业银行股份有限公司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江苏涟水农村商业银行股份有限公司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江苏江阴农村商业银行股份有限公司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江苏高邮农村商业银行股份有限公司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宁波东海银行股份有限公司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江苏句容农村商业银行股份有限公司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齐鲁银行股份有限公司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江苏沭阳农村商业银行股份有限公司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江苏盱眙农村商业银行股份有限公司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江苏阜宁农村商业银行股份有限公司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江苏镇江农村商业银行股份有限公司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江苏丹阳农村商业银行股份有限公司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江苏宜兴农村商业银行股份有限公司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江苏新沂农村商业银行股份有限公司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江苏溧水农村商业银行股份有限公司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江苏如东农村商业银行股份有限公司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江苏大丰农村商业银行股份有限公司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江苏东台农村商业银行股份有限公司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江苏泗洪农村商业银行股份有限公司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江苏泰兴农村商业银行股份有限公司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江苏启东农村商业银行股份有限公司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江苏扬中农村商业银行股份有限公司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江苏海安农村商业银行股份有限公司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江苏靖江农村商业银行股份有限公司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江苏如皋农村商业银行股份有限公司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徐州农村商业银行股份有限公司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江苏海门农村商业银行股份有限公司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江苏南通农村商业银行股份有限公司</w:t>
            </w:r>
          </w:p>
        </w:tc>
        <w:tc>
          <w:tcPr>
            <w:tcW w:w="0" w:type="auto"/>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江苏高淳农村商业银行股份有限公司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rPr>
                <w:rFonts w:hint="eastAsia" w:ascii="楷体" w:hAnsi="楷体" w:eastAsia="楷体" w:cs="楷体"/>
                <w:i w:val="0"/>
                <w:iCs w:val="0"/>
                <w:color w:val="000000"/>
                <w:sz w:val="20"/>
                <w:szCs w:val="20"/>
                <w:u w:val="none"/>
              </w:rPr>
            </w:pPr>
          </w:p>
        </w:tc>
        <w:tc>
          <w:tcPr>
            <w:tcW w:w="0" w:type="auto"/>
            <w:tcBorders>
              <w:top w:val="nil"/>
              <w:left w:val="single" w:color="000000" w:sz="4" w:space="0"/>
              <w:bottom w:val="single" w:color="000000"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江苏洪泽农村商业银行股份有限公司</w:t>
            </w:r>
          </w:p>
        </w:tc>
        <w:tc>
          <w:tcPr>
            <w:tcW w:w="0" w:type="auto"/>
            <w:tcBorders>
              <w:top w:val="nil"/>
              <w:left w:val="nil"/>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sz w:val="20"/>
                <w:szCs w:val="20"/>
                <w:u w:val="none"/>
              </w:rPr>
            </w:pPr>
            <w:r>
              <w:rPr>
                <w:rFonts w:hint="eastAsia" w:ascii="楷体" w:hAnsi="楷体" w:eastAsia="楷体" w:cs="楷体"/>
                <w:i w:val="0"/>
                <w:iCs w:val="0"/>
                <w:color w:val="000000"/>
                <w:kern w:val="0"/>
                <w:sz w:val="20"/>
                <w:szCs w:val="20"/>
                <w:u w:val="none"/>
                <w:lang w:val="en-US" w:eastAsia="zh-CN" w:bidi="ar"/>
              </w:rPr>
              <w:t>威海银行股份有限公司</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投资合作机构</w:t>
      </w:r>
    </w:p>
    <w:p>
      <w:pPr>
        <w:ind w:firstLine="480" w:firstLineChars="200"/>
        <w:rPr>
          <w:rFonts w:hint="eastAsia" w:ascii="楷体" w:hAnsi="楷体" w:eastAsia="楷体"/>
          <w:sz w:val="24"/>
          <w:szCs w:val="24"/>
        </w:rPr>
      </w:pPr>
      <w:r>
        <w:rPr>
          <w:rFonts w:hint="eastAsia" w:ascii="楷体" w:hAnsi="楷体" w:eastAsia="楷体"/>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2883"/>
        <w:gridCol w:w="4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序号</w:t>
            </w:r>
          </w:p>
        </w:tc>
        <w:tc>
          <w:tcPr>
            <w:tcW w:w="2883"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投资合作机构</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bCs/>
                <w:sz w:val="20"/>
                <w:szCs w:val="20"/>
                <w:vertAlign w:val="baseline"/>
                <w:lang w:val="en-US" w:eastAsia="zh-CN"/>
              </w:rPr>
            </w:pPr>
            <w:r>
              <w:rPr>
                <w:rFonts w:hint="eastAsia" w:ascii="楷体" w:hAnsi="楷体" w:eastAsia="楷体" w:cs="Times New Roman"/>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弘业期货股份有限公司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弘业期货股份有限公司是经中国证监会批准设立的大型期货公司，总部位于江苏南京，公司在北京、上海、深圳等国内主要金融中心和重点城市设立40多家营业部和分公司。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2</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eastAsia" w:ascii="楷体" w:hAnsi="楷体" w:eastAsia="楷体" w:cs="Times New Roman"/>
                <w:b w:val="0"/>
                <w:bCs w:val="0"/>
                <w:sz w:val="20"/>
                <w:szCs w:val="20"/>
              </w:rPr>
              <w:t>江苏省国际信托有限责任公司是经江苏省人民政府和中国银行业监督管理委员会批准设立的非银行金融机构，是江苏省国信集团的主要成员企业之一，专业从事金融信托业务。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3</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20"/>
                <w:vertAlign w:val="baseline"/>
              </w:rPr>
            </w:pPr>
            <w:r>
              <w:rPr>
                <w:rFonts w:hint="default" w:ascii="楷体" w:hAnsi="楷体" w:eastAsia="楷体" w:cs="Times New Roman"/>
                <w:b w:val="0"/>
                <w:bCs w:val="0"/>
                <w:sz w:val="20"/>
                <w:szCs w:val="18"/>
              </w:rPr>
              <w:t>创金合信基金管理有限公司成立于2014年7月9日，由第一创业证券股份有限公司、深圳市金合信投资合伙企业（有限合伙）共同发起设立，注册地为深圳。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4</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华鑫国际信托有限公司于2010年2月获得中国银行业监督管理委员会批准重新登记，并于同年3月正式挂牌开业，实际控制人为中国华电集团有限公司，注册资本73.95亿元。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5</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default" w:ascii="楷体" w:hAnsi="楷体" w:eastAsia="楷体" w:cs="Times New Roman"/>
                <w:b w:val="0"/>
                <w:bCs w:val="0"/>
                <w:sz w:val="20"/>
                <w:szCs w:val="18"/>
              </w:rPr>
            </w:pPr>
            <w:r>
              <w:rPr>
                <w:rFonts w:hint="eastAsia" w:ascii="楷体" w:hAnsi="楷体" w:eastAsia="楷体" w:cs="Times New Roman"/>
                <w:b w:val="0"/>
                <w:bCs w:val="0"/>
                <w:sz w:val="20"/>
                <w:szCs w:val="18"/>
              </w:rPr>
              <w:t>中国国际金融股份有限公司于1995年7月31日成立，实际控制人为中央汇金投资有限责任公司，注册资本4,827,256,868元。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6</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18"/>
              </w:rPr>
              <w:t>东方财富证券股份有限公司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lang w:val="en-US" w:eastAsia="zh-CN"/>
              </w:rPr>
            </w:pPr>
            <w:r>
              <w:rPr>
                <w:rFonts w:hint="eastAsia" w:ascii="楷体" w:hAnsi="楷体" w:eastAsia="楷体" w:cs="Times New Roman"/>
                <w:b w:val="0"/>
                <w:bCs w:val="0"/>
                <w:sz w:val="20"/>
                <w:szCs w:val="18"/>
              </w:rPr>
              <w:t>东方财富证券股份有限公司是东方财富信息股份有限 公司旗下的持牌证券公司，总部位于上海，注册资本 121亿元。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7</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18"/>
                <w:lang w:val="en-US" w:eastAsia="zh-CN"/>
              </w:rPr>
            </w:pPr>
            <w:r>
              <w:rPr>
                <w:rFonts w:hint="eastAsia" w:ascii="楷体" w:hAnsi="楷体" w:eastAsia="楷体" w:cs="Times New Roman"/>
                <w:b w:val="0"/>
                <w:bCs w:val="0"/>
                <w:sz w:val="20"/>
                <w:szCs w:val="20"/>
                <w:lang w:val="en-US" w:eastAsia="zh-CN"/>
              </w:rPr>
              <w:t>国投泰康</w:t>
            </w:r>
            <w:r>
              <w:rPr>
                <w:rFonts w:hint="eastAsia" w:ascii="楷体" w:hAnsi="楷体" w:eastAsia="楷体" w:cs="Times New Roman"/>
                <w:b w:val="0"/>
                <w:bCs w:val="0"/>
                <w:sz w:val="20"/>
                <w:szCs w:val="18"/>
              </w:rPr>
              <w:t>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sz w:val="20"/>
                <w:szCs w:val="18"/>
              </w:rPr>
            </w:pPr>
            <w:r>
              <w:rPr>
                <w:rFonts w:hint="eastAsia" w:ascii="楷体" w:hAnsi="楷体" w:eastAsia="楷体" w:cs="Times New Roman"/>
                <w:b w:val="0"/>
                <w:bCs w:val="0"/>
                <w:sz w:val="20"/>
                <w:szCs w:val="20"/>
              </w:rPr>
              <w:t>国投泰康信托有限公司是经中国人民银行批准设立、国家金融监督管理总局监管的非银行金融机构，注册资本金26.705 亿元人民币。公司主要股东为:国投资本控股有限公司，出资比例61.29%；泰康保险集团股份有限公司，出资比例27.06%；悦达资本股份有限公司，出资比例8.20%；泰康资产管理有限责任公司，出资比例 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8</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安联保险资产管理有限公司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textAlignment w:val="auto"/>
              <w:rPr>
                <w:rFonts w:hint="eastAsia" w:ascii="楷体" w:hAnsi="楷体" w:eastAsia="楷体" w:cs="Times New Roman"/>
                <w:b w:val="0"/>
                <w:bCs w:val="0"/>
                <w:kern w:val="2"/>
                <w:sz w:val="20"/>
                <w:szCs w:val="20"/>
                <w:lang w:val="en-US" w:eastAsia="zh-CN" w:bidi="ar-SA"/>
              </w:rPr>
            </w:pPr>
            <w:r>
              <w:rPr>
                <w:rFonts w:hint="eastAsia" w:ascii="楷体" w:hAnsi="楷体" w:eastAsia="楷体" w:cs="Times New Roman"/>
                <w:b w:val="0"/>
                <w:bCs w:val="0"/>
                <w:kern w:val="2"/>
                <w:sz w:val="20"/>
                <w:szCs w:val="20"/>
                <w:lang w:val="en-US" w:eastAsia="zh-CN" w:bidi="ar-SA"/>
              </w:rPr>
              <w:t>安联保险资产管理有限公司（简称安联资管或公司）为中国获批开业的外资独资保险资产管理公司，注册资本为五亿元人民币，注册地北京。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9</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云南国际信托有限公司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云南国际信托有限公司是经中国人民银行批准设立、国家金融监督管理总局监管的非银行金融机构，注册资本金22亿元人民币。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10</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华鑫证券有限责任公司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华鑫证券有限责任公司是经中国证券监督管理委员会批准于2001年3月在深圳市注册成立的全国性综合类证券经营机构，注册资本36亿元人民币。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default" w:ascii="楷体" w:hAnsi="楷体" w:eastAsia="楷体" w:cs="Times New Roman"/>
                <w:b w:val="0"/>
                <w:bCs w:val="0"/>
                <w:sz w:val="20"/>
                <w:szCs w:val="20"/>
                <w:vertAlign w:val="baseline"/>
                <w:lang w:val="en-US" w:eastAsia="zh-CN"/>
              </w:rPr>
            </w:pPr>
            <w:r>
              <w:rPr>
                <w:rFonts w:hint="eastAsia" w:ascii="楷体" w:hAnsi="楷体" w:eastAsia="楷体" w:cs="Times New Roman"/>
                <w:b w:val="0"/>
                <w:bCs w:val="0"/>
                <w:sz w:val="20"/>
                <w:szCs w:val="20"/>
                <w:vertAlign w:val="baseline"/>
                <w:lang w:val="en-US" w:eastAsia="zh-CN"/>
              </w:rPr>
              <w:t>11</w:t>
            </w:r>
          </w:p>
        </w:tc>
        <w:tc>
          <w:tcPr>
            <w:tcW w:w="2883"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center"/>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中粮信托有限责任公司</w:t>
            </w:r>
          </w:p>
        </w:tc>
        <w:tc>
          <w:tcPr>
            <w:tcW w:w="4975"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rPr>
                <w:rFonts w:hint="eastAsia" w:ascii="楷体" w:hAnsi="楷体" w:eastAsia="楷体" w:cs="Times New Roman"/>
                <w:b w:val="0"/>
                <w:bCs w:val="0"/>
                <w:kern w:val="2"/>
                <w:sz w:val="20"/>
                <w:szCs w:val="18"/>
                <w:lang w:val="en-US" w:eastAsia="zh-CN" w:bidi="ar-SA"/>
              </w:rPr>
            </w:pPr>
            <w:r>
              <w:rPr>
                <w:rFonts w:hint="eastAsia" w:ascii="楷体" w:hAnsi="楷体" w:eastAsia="楷体" w:cs="Times New Roman"/>
                <w:b w:val="0"/>
                <w:bCs w:val="0"/>
                <w:kern w:val="2"/>
                <w:sz w:val="20"/>
                <w:szCs w:val="18"/>
                <w:lang w:val="en-US" w:eastAsia="zh-CN" w:bidi="ar-SA"/>
              </w:rPr>
              <w:t>中粮信托有限责任公司成立于2009年7月，是由中国银保监会北京监管局监管的金融机构。中粮信托注册资本28.31亿元，股东为中粮资本投资有限公司、蒙特利尔银行、中粮财务有限责任公司，持股比例分别为80.51%、16.24%、3.25%。</w:t>
            </w:r>
          </w:p>
        </w:tc>
      </w:tr>
    </w:tbl>
    <w:p>
      <w:pPr>
        <w:ind w:firstLine="480" w:firstLineChars="200"/>
        <w:rPr>
          <w:rFonts w:hint="eastAsia" w:ascii="楷体" w:hAnsi="楷体" w:eastAsia="楷体"/>
          <w:sz w:val="24"/>
          <w:szCs w:val="24"/>
        </w:rPr>
      </w:pPr>
      <w:r>
        <w:rPr>
          <w:rFonts w:hint="eastAsia" w:ascii="楷体" w:hAnsi="楷体" w:eastAsia="楷体"/>
          <w:sz w:val="24"/>
          <w:szCs w:val="24"/>
        </w:rPr>
        <w:t>产品存续期内合作机构如有变化，管理人将按照监管规定和内部管理制度要求对合作机构进行准入，签署相关协议后，披露新增的投资合作机构。</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名词释义</w:t>
      </w:r>
    </w:p>
    <w:p>
      <w:pPr>
        <w:ind w:firstLine="480" w:firstLineChars="200"/>
        <w:rPr>
          <w:rFonts w:hint="eastAsia"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参与主体用语</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★管理人/产品管理人/理财产品管理人：指苏银理财有限责任公司（本文简称“苏银理财”）。</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s="Calibri"/>
          <w:sz w:val="24"/>
          <w:szCs w:val="24"/>
          <w:lang w:val="en-US" w:eastAsia="zh-CN"/>
        </w:rPr>
        <w:t>金融监管总局</w:t>
      </w:r>
      <w:r>
        <w:rPr>
          <w:rFonts w:hint="eastAsia" w:ascii="楷体" w:hAnsi="楷体" w:eastAsia="楷体"/>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5"/>
        </w:numPr>
        <w:tabs>
          <w:tab w:val="left" w:pos="728"/>
        </w:tabs>
        <w:ind w:left="0"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5"/>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投资者：指符合相关法律法规、监管规定要求的，可以购买理财产品份额的自然人和法人。</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理财产品用语</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理财产品</w:t>
      </w:r>
      <w:r>
        <w:rPr>
          <w:rFonts w:ascii="楷体" w:hAnsi="楷体" w:eastAsia="楷体"/>
          <w:sz w:val="24"/>
          <w:szCs w:val="24"/>
        </w:rPr>
        <w:t>/</w:t>
      </w:r>
      <w:r>
        <w:rPr>
          <w:rFonts w:hint="eastAsia" w:ascii="楷体" w:hAnsi="楷体" w:eastAsia="楷体"/>
          <w:sz w:val="24"/>
          <w:szCs w:val="24"/>
        </w:rPr>
        <w:t>产品：指苏银理财按照约定条件和实际投资收益情况向投资者支付收益、不保证本金支付和收益水平的非保本理财产品。</w:t>
      </w:r>
    </w:p>
    <w:p>
      <w:pPr>
        <w:numPr>
          <w:ilvl w:val="0"/>
          <w:numId w:val="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本理财产品</w:t>
      </w:r>
      <w:r>
        <w:rPr>
          <w:rFonts w:ascii="楷体" w:hAnsi="楷体" w:eastAsia="楷体"/>
          <w:sz w:val="24"/>
          <w:szCs w:val="24"/>
        </w:rPr>
        <w:t>/</w:t>
      </w:r>
      <w:r>
        <w:rPr>
          <w:rFonts w:hint="eastAsia" w:ascii="楷体" w:hAnsi="楷体" w:eastAsia="楷体"/>
          <w:sz w:val="24"/>
          <w:szCs w:val="24"/>
        </w:rPr>
        <w:t>本产品：指“苏银理财</w:t>
      </w:r>
      <w:r>
        <w:rPr>
          <w:rFonts w:hint="eastAsia" w:ascii="楷体" w:hAnsi="楷体" w:eastAsia="楷体"/>
          <w:sz w:val="24"/>
          <w:szCs w:val="24"/>
          <w:lang w:eastAsia="zh-CN"/>
        </w:rPr>
        <w:t>恒源6月定开18期</w:t>
      </w:r>
      <w:r>
        <w:rPr>
          <w:rFonts w:hint="eastAsia" w:ascii="楷体" w:hAnsi="楷体" w:eastAsia="楷体"/>
          <w:sz w:val="24"/>
          <w:szCs w:val="24"/>
        </w:rPr>
        <w:t>”理财产品。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理财产品登记编码：指本款理财产品在全国银行业理财信息登记系统中的编码，投资者可在中国理财网进行查询该编码。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理财产品代码/产品代码：指本款理财产品在全国银行业理财信息登记系统中登记的内部识别码。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理财产品份额：指投资者持有本理财产品的单位数额。投资者基于其所持有的理财产品单位数额享有理财产品利益、承担理财产品风险。</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理财产品资产净值/理财资产净值/产品资产净值：产品资产净值=产品资产总值-产品负债总值。</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产品资产总值</w:t>
      </w:r>
      <w:r>
        <w:rPr>
          <w:rFonts w:hint="eastAsia" w:ascii="楷体" w:hAnsi="楷体" w:eastAsia="楷体"/>
          <w:sz w:val="24"/>
          <w:szCs w:val="24"/>
          <w:lang w:eastAsia="zh-CN"/>
        </w:rPr>
        <w:t>：</w:t>
      </w:r>
      <w:r>
        <w:rPr>
          <w:rFonts w:hint="eastAsia" w:ascii="楷体" w:hAnsi="楷体" w:eastAsia="楷体"/>
          <w:sz w:val="24"/>
          <w:szCs w:val="24"/>
        </w:rPr>
        <w:t>指产品拥有的各类有价证券、银行存款、应收款项及其他资产的价值总和。</w:t>
      </w:r>
    </w:p>
    <w:p>
      <w:pPr>
        <w:numPr>
          <w:ilvl w:val="0"/>
          <w:numId w:val="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产品负债总值</w:t>
      </w:r>
      <w:r>
        <w:rPr>
          <w:rFonts w:hint="eastAsia" w:ascii="楷体" w:hAnsi="楷体" w:eastAsia="楷体"/>
          <w:sz w:val="24"/>
          <w:szCs w:val="24"/>
          <w:lang w:eastAsia="zh-CN"/>
        </w:rPr>
        <w:t>：</w:t>
      </w:r>
      <w:r>
        <w:rPr>
          <w:rFonts w:hint="eastAsia" w:ascii="楷体" w:hAnsi="楷体" w:eastAsia="楷体"/>
          <w:sz w:val="24"/>
          <w:szCs w:val="24"/>
        </w:rPr>
        <w:t>指产品运作及融资时形成的负债价值总和，包括融资资金本息、应付各项费用（包括托管费、销售服务费、投资管理费、超额业绩报酬、其他费用等）、应付税金及其他应付款项等。</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理财产品份额单位净值/理财产品单位净值/单位净值：指理财产品份额的单位净值，即每1份理财产品份额以人民币计价的价格。理财产品单位净值=理财资产净值/产品总份额。投资者按该</w:t>
      </w:r>
      <w:r>
        <w:rPr>
          <w:rFonts w:hint="eastAsia" w:ascii="楷体" w:hAnsi="楷体" w:eastAsia="楷体"/>
          <w:sz w:val="24"/>
          <w:szCs w:val="24"/>
          <w:lang w:val="en-US" w:eastAsia="zh-CN"/>
        </w:rPr>
        <w:t>份额</w:t>
      </w:r>
      <w:r>
        <w:rPr>
          <w:rFonts w:hint="eastAsia" w:ascii="楷体" w:hAnsi="楷体" w:eastAsia="楷体"/>
          <w:sz w:val="24"/>
          <w:szCs w:val="24"/>
        </w:rPr>
        <w:t>单位净值进行理财产品申购、赎回和终止时分配。</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理财产品估值：指计算评估理财产品资产和负债以确定理财产品单位净值的过程。</w:t>
      </w:r>
    </w:p>
    <w:p>
      <w:pPr>
        <w:numPr>
          <w:ilvl w:val="0"/>
          <w:numId w:val="6"/>
        </w:numPr>
        <w:tabs>
          <w:tab w:val="left" w:pos="851"/>
        </w:tabs>
        <w:ind w:left="0" w:firstLine="482" w:firstLineChars="200"/>
        <w:rPr>
          <w:rFonts w:hint="eastAsia" w:ascii="楷体" w:hAnsi="楷体" w:eastAsia="楷体"/>
          <w:b/>
          <w:sz w:val="24"/>
          <w:szCs w:val="24"/>
        </w:rPr>
      </w:pPr>
      <w:r>
        <w:rPr>
          <w:rFonts w:hint="eastAsia" w:ascii="楷体" w:hAnsi="楷体" w:eastAsia="楷体"/>
          <w:b/>
          <w:sz w:val="24"/>
          <w:szCs w:val="24"/>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本金/理财本金：指就每一投资者而言，指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★理财产品收益/理财收益：指投资者投资理财产品获得的投资收益，该收益为其获得分配的全部理财产品利益中扣除理财产品本金的部分。</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认购：指投资者根据理财产品说明书约定在募集期内申请购买本产品理财产品份额的行为。</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投资者资金账户：指投资者开立的银行账户，理财产品投资交易的资金遵循同卡进出原则，通过银行卡A认购/申购理财产品的资金，赎回或到期资金只能划转至银行卡A。</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6"/>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6"/>
        </w:numPr>
        <w:tabs>
          <w:tab w:val="left" w:pos="851"/>
        </w:tabs>
        <w:ind w:left="0" w:firstLine="480" w:firstLineChars="200"/>
        <w:rPr>
          <w:rFonts w:hint="eastAsia" w:ascii="楷体" w:hAnsi="楷体" w:eastAsia="楷体"/>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w:t>
      </w:r>
      <w:r>
        <w:rPr>
          <w:rFonts w:hint="eastAsia" w:ascii="楷体" w:hAnsi="楷体" w:eastAsia="楷体" w:cs="Calibri"/>
          <w:kern w:val="2"/>
          <w:sz w:val="24"/>
          <w:szCs w:val="24"/>
        </w:rPr>
        <w:t>买入返售、银行存款，7个工作日内能够确认收到的各类应收款项等。</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期间与日期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工作日：指国家法定工作日。</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交易日：</w:t>
      </w:r>
      <w:r>
        <w:rPr>
          <w:rFonts w:ascii="楷体" w:hAnsi="楷体" w:eastAsia="楷体"/>
          <w:sz w:val="24"/>
          <w:szCs w:val="24"/>
        </w:rPr>
        <w:t>指上海证券交易所和深圳证券交易所的正常开盘交易日</w:t>
      </w:r>
      <w:r>
        <w:rPr>
          <w:rFonts w:hint="eastAsia" w:ascii="楷体" w:hAnsi="楷体" w:eastAsia="楷体"/>
          <w:sz w:val="24"/>
          <w:szCs w:val="24"/>
        </w:rPr>
        <w:t>。</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成立日：指本产品开始运作的日期。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份额登记日/份额确认日：指管理人对投资者提交的认购申请进行份额登记的日期。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终止日/到期日：指本产品终止的日期。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估值日：指产品管理人对理财产品项下资产进行估值的日期。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兑付日：指投资者理财资金到达投资者资金账户的日期。</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募集期：指理财产品成立前，理财产品管理人接受理财产品认购的时间。</w:t>
      </w:r>
    </w:p>
    <w:p>
      <w:pPr>
        <w:numPr>
          <w:ilvl w:val="0"/>
          <w:numId w:val="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周期：投资周期指投资者持有理财产品份额所对应的理财资金由产品管理人进行投资运作的一段完整期间，每一个投资周期为该投资周期起始日至该投资周期终止日的理财期间。投资周期起始日：指每一个投资周期开始的日期。投资周期终止日：指每一个投资周期结束的日期。</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开放日：指投资周期终止日。开放计划内的申购、赎回申请，将以开放日的净值进行确认。</w:t>
      </w:r>
    </w:p>
    <w:p>
      <w:pPr>
        <w:numPr>
          <w:ilvl w:val="0"/>
          <w:numId w:val="7"/>
        </w:numPr>
        <w:tabs>
          <w:tab w:val="left" w:pos="851"/>
        </w:tabs>
        <w:ind w:left="0" w:firstLine="480" w:firstLineChars="200"/>
        <w:rPr>
          <w:rFonts w:hint="eastAsia" w:ascii="楷体" w:hAnsi="楷体" w:eastAsia="楷体"/>
          <w:sz w:val="24"/>
          <w:szCs w:val="24"/>
        </w:rPr>
      </w:pPr>
      <w:r>
        <w:rPr>
          <w:rFonts w:hint="eastAsia" w:ascii="楷体" w:hAnsi="楷体" w:eastAsia="楷体"/>
          <w:sz w:val="24"/>
          <w:szCs w:val="24"/>
        </w:rPr>
        <w:t>产品存续期：指自理财产品成立日起，至理财产品终止日的期间。</w:t>
      </w:r>
    </w:p>
    <w:p>
      <w:pPr>
        <w:numPr>
          <w:ilvl w:val="0"/>
          <w:numId w:val="4"/>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其他</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元：指人民币元。</w:t>
      </w:r>
    </w:p>
    <w:p>
      <w:pPr>
        <w:numPr>
          <w:ilvl w:val="0"/>
          <w:numId w:val="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lang w:val="en-US" w:eastAsia="zh-CN"/>
        </w:rPr>
        <w:t>不可抗力：</w:t>
      </w:r>
      <w:r>
        <w:rPr>
          <w:rFonts w:hint="eastAsia" w:ascii="楷体" w:hAnsi="楷体" w:eastAsia="楷体" w:cs="Calibri"/>
          <w:sz w:val="24"/>
          <w:szCs w:val="24"/>
          <w:lang w:val="en-US" w:eastAsia="zh-CN"/>
        </w:rPr>
        <w:t>指理财产品合同各方当事人所不能预见、不能避免且不能克服的客观情况，使得任何一方当事人无法及时履行理财合同的全部或部分义务，该类事件包括但不限于：</w:t>
      </w:r>
    </w:p>
    <w:p>
      <w:pPr>
        <w:numPr>
          <w:ilvl w:val="0"/>
          <w:numId w:val="9"/>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9"/>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0"/>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numPr>
          <w:ilvl w:val="0"/>
          <w:numId w:val="0"/>
        </w:numPr>
        <w:tabs>
          <w:tab w:val="left" w:pos="728"/>
        </w:tabs>
        <w:ind w:left="0" w:leftChars="0" w:firstLine="408" w:firstLineChars="170"/>
        <w:rPr>
          <w:rFonts w:hint="eastAsia" w:ascii="楷体" w:hAnsi="楷体" w:eastAsia="楷体"/>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风险评级</w:t>
      </w:r>
    </w:p>
    <w:p>
      <w:pPr>
        <w:ind w:firstLine="480" w:firstLineChars="200"/>
        <w:rPr>
          <w:rFonts w:hint="eastAsia"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★★二级，适合中低风险型投资者，适合投资策略为稳健发展</w:t>
      </w:r>
      <w:r>
        <w:rPr>
          <w:rFonts w:hint="eastAsia" w:ascii="楷体" w:hAnsi="楷体" w:eastAsia="楷体"/>
          <w:b/>
          <w:sz w:val="24"/>
          <w:szCs w:val="24"/>
          <w:u w:val="single"/>
          <w:lang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highlight w:val="none"/>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理财产品评级以代理销售机构最终披露的评级结果为准。</w:t>
      </w:r>
    </w:p>
    <w:p>
      <w:pPr>
        <w:ind w:firstLine="480" w:firstLineChars="200"/>
        <w:rPr>
          <w:rFonts w:hint="eastAsia" w:ascii="楷体" w:hAnsi="楷体" w:eastAsia="楷体"/>
          <w:sz w:val="24"/>
          <w:szCs w:val="24"/>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b/>
                <w:kern w:val="0"/>
                <w:sz w:val="24"/>
                <w:szCs w:val="24"/>
              </w:rPr>
            </w:pPr>
            <w:r>
              <w:rPr>
                <w:rFonts w:hint="eastAsia" w:ascii="楷体" w:hAnsi="楷体" w:eastAsia="楷体" w:cs="浠垮畫"/>
                <w:b/>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投资管理</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w:t>
      </w:r>
      <w:r>
        <w:rPr>
          <w:rFonts w:hint="eastAsia" w:ascii="楷体" w:hAnsi="楷体" w:eastAsia="楷体"/>
          <w:sz w:val="24"/>
          <w:szCs w:val="24"/>
          <w:lang w:val="en-US" w:eastAsia="zh-CN"/>
        </w:rPr>
        <w:t>-</w:t>
      </w:r>
      <w:r>
        <w:rPr>
          <w:rFonts w:hint="eastAsia" w:ascii="楷体" w:hAnsi="楷体" w:eastAsia="楷体"/>
          <w:sz w:val="24"/>
          <w:szCs w:val="24"/>
        </w:rPr>
        <w:t>20%，其中非标准化债权类资产合计投资比例不高于产品净资产50%。</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w:t>
      </w:r>
      <w:r>
        <w:rPr>
          <w:rFonts w:hint="eastAsia" w:ascii="楷体" w:hAnsi="楷体" w:eastAsia="楷体"/>
          <w:sz w:val="24"/>
          <w:szCs w:val="24"/>
          <w:highlight w:val="none"/>
        </w:rPr>
        <w:t>变现价值。</w:t>
      </w:r>
    </w:p>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本产品计划配置的备选非标准化债权类资产如下：</w:t>
      </w:r>
    </w:p>
    <w:p>
      <w:pPr>
        <w:ind w:firstLine="480" w:firstLineChars="200"/>
        <w:rPr>
          <w:rFonts w:hint="eastAsia" w:ascii="楷体" w:hAnsi="楷体" w:eastAsia="楷体"/>
          <w:sz w:val="24"/>
          <w:szCs w:val="24"/>
          <w:lang w:val="en-US" w:eastAsia="zh-CN"/>
        </w:rPr>
      </w:pPr>
      <w:r>
        <w:rPr>
          <w:rFonts w:hint="eastAsia" w:ascii="楷体" w:hAnsi="楷体" w:eastAsia="楷体"/>
          <w:sz w:val="24"/>
          <w:szCs w:val="24"/>
          <w:lang w:val="en-US" w:eastAsia="zh-CN"/>
        </w:rPr>
        <w:t>（1）信托贷款：资产类型为信托公司设立的信托计划，底层资产为个人贷款债权，该类资产由蚂蚁、微信、抖音、京东、度小满、网商银行等公司与信托公司双重审核、信托公司自主风控后发放，资产运行正常。</w:t>
      </w:r>
    </w:p>
    <w:p>
      <w:pPr>
        <w:numPr>
          <w:ilvl w:val="0"/>
          <w:numId w:val="0"/>
        </w:numPr>
        <w:ind w:firstLine="480" w:firstLineChars="200"/>
        <w:rPr>
          <w:rFonts w:hint="eastAsia" w:ascii="楷体" w:hAnsi="楷体" w:eastAsia="楷体"/>
          <w:sz w:val="24"/>
          <w:szCs w:val="24"/>
        </w:rPr>
      </w:pPr>
      <w:r>
        <w:rPr>
          <w:rFonts w:hint="eastAsia" w:ascii="楷体" w:hAnsi="楷体" w:eastAsia="楷体"/>
          <w:sz w:val="24"/>
          <w:szCs w:val="24"/>
          <w:lang w:val="en-US" w:eastAsia="zh-CN"/>
        </w:rPr>
        <w:t>资产到期日不超过理财产品投资周期终止日，循环期不还本、摊还期过手摊还本息。</w:t>
      </w:r>
    </w:p>
    <w:p>
      <w:pPr>
        <w:ind w:firstLine="480" w:firstLineChars="200"/>
        <w:rPr>
          <w:rFonts w:hint="eastAsia" w:ascii="楷体" w:hAnsi="楷体" w:eastAsia="楷体"/>
          <w:sz w:val="24"/>
          <w:szCs w:val="24"/>
        </w:rPr>
      </w:pPr>
      <w:r>
        <w:rPr>
          <w:rFonts w:hint="eastAsia" w:ascii="楷体" w:hAnsi="楷体" w:eastAsia="楷体"/>
          <w:sz w:val="24"/>
          <w:szCs w:val="24"/>
        </w:rPr>
        <w:t>产品存续期内若本理财产品投资的</w:t>
      </w:r>
      <w:r>
        <w:rPr>
          <w:rFonts w:hint="eastAsia" w:ascii="楷体" w:hAnsi="楷体" w:eastAsia="楷体" w:cs="楷体"/>
          <w:kern w:val="2"/>
          <w:sz w:val="24"/>
          <w:szCs w:val="24"/>
          <w:highlight w:val="none"/>
          <w:lang w:val="en-US" w:eastAsia="zh-CN" w:bidi="ar-SA"/>
        </w:rPr>
        <w:t>个人贷款债权</w:t>
      </w:r>
      <w:r>
        <w:rPr>
          <w:rFonts w:hint="eastAsia" w:ascii="楷体" w:hAnsi="楷体" w:eastAsia="楷体"/>
          <w:sz w:val="24"/>
          <w:szCs w:val="24"/>
          <w:highlight w:val="none"/>
        </w:rPr>
        <w:t>资产</w:t>
      </w:r>
      <w:r>
        <w:rPr>
          <w:rFonts w:hint="eastAsia" w:ascii="楷体" w:hAnsi="楷体" w:eastAsia="楷体"/>
          <w:sz w:val="24"/>
          <w:szCs w:val="24"/>
        </w:rPr>
        <w:t>有所调整，管理人将选择优质企业作为融资人，且融资项目已履行管理人内部审批流程，融资人业务经营正常，融资项目还款来源明确，并在本理财产品的定期报告中披露。</w:t>
      </w:r>
    </w:p>
    <w:p>
      <w:pPr>
        <w:ind w:firstLine="480" w:firstLineChars="200"/>
        <w:rPr>
          <w:rFonts w:hint="eastAsia" w:ascii="楷体" w:hAnsi="楷体" w:eastAsia="楷体"/>
          <w:sz w:val="24"/>
          <w:szCs w:val="24"/>
        </w:rPr>
      </w:pPr>
      <w:r>
        <w:rPr>
          <w:rFonts w:hint="eastAsia" w:ascii="楷体" w:hAnsi="楷体" w:eastAsia="楷体"/>
          <w:sz w:val="24"/>
          <w:szCs w:val="24"/>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投资集中度限制</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本产品持有单只证券或者单只公募证券投资基金的市值不得超过产品净资产的</w:t>
      </w:r>
      <w:r>
        <w:rPr>
          <w:rFonts w:ascii="楷体" w:hAnsi="楷体" w:eastAsia="楷体"/>
          <w:sz w:val="24"/>
          <w:szCs w:val="24"/>
        </w:rPr>
        <w:t>10%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管理人全部公募产品持有单只证券或单只公募证券投资基金的市值，不得超过该证券市值或该公募证券投资基金市值的</w:t>
      </w:r>
      <w:r>
        <w:rPr>
          <w:rFonts w:ascii="楷体" w:hAnsi="楷体" w:eastAsia="楷体"/>
          <w:sz w:val="24"/>
          <w:szCs w:val="24"/>
        </w:rPr>
        <w:t>30%</w:t>
      </w:r>
      <w:r>
        <w:rPr>
          <w:rFonts w:hint="eastAsia" w:ascii="楷体" w:hAnsi="楷体" w:eastAsia="楷体"/>
          <w:sz w:val="24"/>
          <w:szCs w:val="24"/>
        </w:rPr>
        <w:t>。</w:t>
      </w:r>
    </w:p>
    <w:p>
      <w:pPr>
        <w:numPr>
          <w:ilvl w:val="0"/>
          <w:numId w:val="1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管理人全部产品持有单一上市公司发行的股票，不得超过该上市公司可流通股票的30%。</w:t>
      </w:r>
    </w:p>
    <w:p>
      <w:pPr>
        <w:ind w:firstLine="480" w:firstLineChars="200"/>
        <w:rPr>
          <w:rFonts w:hint="eastAsia" w:ascii="楷体" w:hAnsi="楷体" w:eastAsia="楷体"/>
          <w:sz w:val="24"/>
          <w:szCs w:val="24"/>
        </w:rPr>
      </w:pPr>
      <w:r>
        <w:rPr>
          <w:rFonts w:hint="eastAsia" w:ascii="楷体" w:hAnsi="楷体" w:eastAsia="楷体"/>
          <w:sz w:val="24"/>
          <w:szCs w:val="24"/>
        </w:rPr>
        <w:t>金融监督管理部门另有规定的除外。</w:t>
      </w:r>
    </w:p>
    <w:p>
      <w:pPr>
        <w:ind w:firstLine="480" w:firstLineChars="200"/>
        <w:rPr>
          <w:rFonts w:hint="eastAsia" w:ascii="楷体" w:hAnsi="楷体" w:eastAsia="楷体"/>
          <w:sz w:val="24"/>
          <w:szCs w:val="24"/>
        </w:rPr>
      </w:pPr>
      <w:r>
        <w:rPr>
          <w:rFonts w:hint="eastAsia" w:ascii="楷体" w:hAnsi="楷体" w:eastAsia="楷体"/>
          <w:sz w:val="24"/>
          <w:szCs w:val="24"/>
        </w:rPr>
        <w:t>非因管理人主观因素导致突破上述比例限制的，产品管理人在流动性受限资产可出售、可转让或者恢复交易的</w:t>
      </w:r>
      <w:r>
        <w:rPr>
          <w:rFonts w:ascii="楷体" w:hAnsi="楷体" w:eastAsia="楷体"/>
          <w:sz w:val="24"/>
          <w:szCs w:val="24"/>
        </w:rPr>
        <w:t>1</w:t>
      </w:r>
      <w:r>
        <w:rPr>
          <w:rFonts w:hint="eastAsia" w:ascii="楷体" w:hAnsi="楷体" w:eastAsia="楷体"/>
          <w:sz w:val="24"/>
          <w:szCs w:val="24"/>
        </w:rPr>
        <w:t>0个交易日内调整至符合要求。</w:t>
      </w:r>
    </w:p>
    <w:p>
      <w:pPr>
        <w:numPr>
          <w:ilvl w:val="0"/>
          <w:numId w:val="10"/>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杠杆水平限制</w:t>
      </w:r>
    </w:p>
    <w:p>
      <w:pPr>
        <w:ind w:firstLine="480" w:firstLineChars="200"/>
        <w:rPr>
          <w:rFonts w:hint="eastAsia" w:ascii="楷体" w:hAnsi="楷体" w:eastAsia="楷体"/>
          <w:sz w:val="24"/>
          <w:szCs w:val="24"/>
        </w:rPr>
      </w:pPr>
      <w:r>
        <w:rPr>
          <w:rFonts w:hint="eastAsia" w:ascii="楷体" w:hAnsi="楷体" w:eastAsia="楷体"/>
          <w:sz w:val="24"/>
          <w:szCs w:val="24"/>
        </w:rPr>
        <w:t>本理财产品资产总值/理财产品资产净值不超过140%（如监管有最新规定的参照监管规定调整）。</w:t>
      </w:r>
    </w:p>
    <w:p>
      <w:pPr>
        <w:numPr>
          <w:ilvl w:val="0"/>
          <w:numId w:val="10"/>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投资范围调整</w:t>
      </w:r>
    </w:p>
    <w:p>
      <w:pPr>
        <w:ind w:firstLine="480" w:firstLineChars="200"/>
        <w:rPr>
          <w:rFonts w:hint="eastAsia"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w:t>
      </w:r>
      <w:r>
        <w:rPr>
          <w:rFonts w:hint="eastAsia" w:ascii="楷体" w:hAnsi="楷体" w:eastAsia="楷体"/>
          <w:sz w:val="24"/>
          <w:szCs w:val="24"/>
          <w:lang w:eastAsia="zh-CN"/>
        </w:rPr>
        <w:t>，</w:t>
      </w:r>
      <w:r>
        <w:rPr>
          <w:rFonts w:hint="eastAsia" w:ascii="楷体" w:hAnsi="楷体" w:eastAsia="楷体"/>
          <w:sz w:val="24"/>
          <w:szCs w:val="24"/>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产品认购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认购期间（以各销售机构设置的认购时间为准）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5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62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认购期间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5"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562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2024年1月4日</w:t>
            </w:r>
            <w:r>
              <w:rPr>
                <w:rFonts w:hint="eastAsia" w:ascii="楷体" w:hAnsi="楷体" w:eastAsia="楷体" w:cs="Times New Roman"/>
                <w:sz w:val="24"/>
                <w:szCs w:val="24"/>
              </w:rPr>
              <w:t>9:00至</w:t>
            </w:r>
            <w:r>
              <w:rPr>
                <w:rFonts w:hint="eastAsia" w:ascii="楷体" w:hAnsi="楷体" w:eastAsia="楷体" w:cs="Times New Roman"/>
                <w:sz w:val="24"/>
                <w:szCs w:val="24"/>
                <w:lang w:eastAsia="zh-CN"/>
              </w:rPr>
              <w:t>2024年1月10日</w:t>
            </w:r>
            <w:r>
              <w:rPr>
                <w:rFonts w:hint="eastAsia" w:ascii="楷体" w:hAnsi="楷体" w:eastAsia="楷体" w:cs="Times New Roman"/>
                <w:sz w:val="24"/>
                <w:szCs w:val="24"/>
              </w:rPr>
              <w:t>17:00</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认购方式：本理财产品可在各销售机构指定渠道进行认购。</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cs="Calibri"/>
          <w:sz w:val="24"/>
          <w:szCs w:val="24"/>
          <w:highlight w:val="none"/>
          <w:lang w:val="en-US" w:eastAsia="zh-CN"/>
        </w:rPr>
        <w:t>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w:t>
      </w:r>
      <w:r>
        <w:rPr>
          <w:rFonts w:hint="eastAsia" w:ascii="楷体" w:hAnsi="楷体" w:eastAsia="楷体" w:cs="Calibri"/>
          <w:sz w:val="24"/>
          <w:szCs w:val="24"/>
          <w:lang w:val="en-US" w:eastAsia="zh-CN"/>
        </w:rPr>
        <w:t>后，视为投资者的认购申请生效。投资者应在理财产品成立后及时查询最终的成交情况以及认购的份额。</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单笔认购起点金额</w:t>
      </w:r>
      <w:r>
        <w:rPr>
          <w:rFonts w:hint="eastAsia" w:ascii="楷体" w:hAnsi="楷体" w:eastAsia="楷体"/>
          <w:sz w:val="24"/>
          <w:szCs w:val="24"/>
          <w:lang w:eastAsia="zh-CN"/>
        </w:rPr>
        <w:t>、</w:t>
      </w:r>
      <w:r>
        <w:rPr>
          <w:rFonts w:hint="eastAsia" w:ascii="楷体" w:hAnsi="楷体" w:eastAsia="楷体"/>
          <w:sz w:val="24"/>
          <w:szCs w:val="24"/>
          <w:lang w:val="en-US" w:eastAsia="zh-CN"/>
        </w:rPr>
        <w:t>追加金额</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2673"/>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rPr>
              <w:t>单笔认购起点金额</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C</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D</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rPr>
            </w:pPr>
            <w:r>
              <w:rPr>
                <w:rFonts w:hint="eastAsia" w:ascii="楷体" w:hAnsi="楷体" w:eastAsia="楷体" w:cs="Times New Roman"/>
                <w:sz w:val="24"/>
                <w:szCs w:val="24"/>
                <w:lang w:val="en-US" w:eastAsia="zh-CN"/>
              </w:rPr>
              <w:t>个人投资者：</w:t>
            </w:r>
            <w:r>
              <w:rPr>
                <w:rFonts w:hint="default" w:ascii="楷体" w:hAnsi="楷体" w:eastAsia="楷体" w:cs="Times New Roman"/>
                <w:sz w:val="24"/>
                <w:szCs w:val="24"/>
              </w:rPr>
              <w:t>50</w:t>
            </w:r>
            <w:r>
              <w:rPr>
                <w:rFonts w:hint="eastAsia" w:ascii="楷体" w:hAnsi="楷体" w:eastAsia="楷体" w:cs="Times New Roman"/>
                <w:sz w:val="24"/>
                <w:szCs w:val="24"/>
              </w:rPr>
              <w:t>万元</w:t>
            </w:r>
          </w:p>
          <w:p>
            <w:pPr>
              <w:keepNext w:val="0"/>
              <w:keepLines w:val="0"/>
              <w:numPr>
                <w:ilvl w:val="0"/>
                <w:numId w:val="0"/>
              </w:numPr>
              <w:suppressLineNumbers w:val="0"/>
              <w:tabs>
                <w:tab w:val="left" w:pos="993"/>
              </w:tabs>
              <w:spacing w:before="0" w:beforeAutospacing="0" w:after="0" w:afterAutospacing="0"/>
              <w:ind w:left="0" w:right="0"/>
              <w:jc w:val="center"/>
              <w:rPr>
                <w:rFonts w:hint="default" w:ascii="Calibri" w:hAnsi="Calibri" w:eastAsia="楷体" w:cs="Times New Roman"/>
                <w:lang w:val="en-US" w:eastAsia="zh-CN"/>
              </w:rPr>
            </w:pPr>
            <w:r>
              <w:rPr>
                <w:rFonts w:hint="eastAsia" w:ascii="楷体" w:hAnsi="楷体" w:eastAsia="楷体" w:cs="Times New Roman"/>
                <w:sz w:val="24"/>
                <w:szCs w:val="24"/>
                <w:lang w:val="en-US" w:eastAsia="zh-CN"/>
              </w:rPr>
              <w:t>机构投资者：5000万元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default" w:ascii="楷体" w:hAnsi="楷体" w:eastAsia="楷体" w:cs="Times New Roman"/>
                <w:sz w:val="24"/>
                <w:szCs w:val="24"/>
              </w:rPr>
              <w:t>1</w:t>
            </w:r>
            <w:r>
              <w:rPr>
                <w:rFonts w:hint="eastAsia" w:ascii="楷体" w:hAnsi="楷体" w:eastAsia="楷体" w:cs="Times New Roman"/>
                <w:sz w:val="24"/>
                <w:szCs w:val="24"/>
              </w:rPr>
              <w:t>万元的整数倍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F</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G</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lang w:val="en-US" w:eastAsia="zh-CN"/>
              </w:rPr>
              <w:t>万</w:t>
            </w:r>
            <w:r>
              <w:rPr>
                <w:rFonts w:hint="eastAsia" w:ascii="楷体" w:hAnsi="楷体" w:eastAsia="楷体" w:cs="Times New Roman"/>
                <w:sz w:val="24"/>
                <w:szCs w:val="24"/>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lang w:val="en-US" w:eastAsia="zh-CN"/>
              </w:rPr>
            </w:pPr>
            <w:r>
              <w:rPr>
                <w:rFonts w:hint="eastAsia" w:ascii="楷体" w:hAnsi="楷体" w:eastAsia="楷体" w:cs="Times New Roman"/>
                <w:sz w:val="24"/>
                <w:szCs w:val="24"/>
                <w:lang w:val="en-US" w:eastAsia="zh-CN"/>
              </w:rPr>
              <w:t>L</w:t>
            </w:r>
            <w:r>
              <w:rPr>
                <w:rFonts w:hint="eastAsia" w:ascii="楷体" w:hAnsi="楷体" w:eastAsia="楷体" w:cs="Times New Roman"/>
                <w:sz w:val="24"/>
                <w:szCs w:val="24"/>
              </w:rPr>
              <w:t>份额</w:t>
            </w:r>
          </w:p>
        </w:tc>
        <w:tc>
          <w:tcPr>
            <w:tcW w:w="267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w:t>
            </w:r>
          </w:p>
        </w:tc>
        <w:tc>
          <w:tcPr>
            <w:tcW w:w="277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default" w:ascii="楷体" w:hAnsi="楷体" w:eastAsia="楷体" w:cs="Times New Roman"/>
                <w:sz w:val="24"/>
                <w:szCs w:val="24"/>
              </w:rPr>
            </w:pPr>
            <w:r>
              <w:rPr>
                <w:rFonts w:hint="default" w:ascii="楷体" w:hAnsi="楷体" w:eastAsia="楷体" w:cs="Times New Roman"/>
                <w:sz w:val="24"/>
                <w:szCs w:val="24"/>
              </w:rPr>
              <w:t>1</w:t>
            </w:r>
            <w:r>
              <w:rPr>
                <w:rFonts w:hint="eastAsia" w:ascii="楷体" w:hAnsi="楷体" w:eastAsia="楷体" w:cs="Times New Roman"/>
                <w:sz w:val="24"/>
                <w:szCs w:val="24"/>
              </w:rPr>
              <w:t>元的整数倍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lang w:val="en-US" w:eastAsia="zh-CN"/>
        </w:rPr>
        <w:t>认购申请撤销时间：认购期间，投资者可于以下时点前撤销对应份额的认购申请，以下时点后不得撤销。（以各销售机构设置的撤销截止时间为准）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5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Times New Roman"/>
                <w:sz w:val="24"/>
                <w:szCs w:val="24"/>
                <w:vertAlign w:val="baseline"/>
                <w:lang w:val="en-US" w:eastAsia="zh-CN"/>
              </w:rPr>
            </w:pPr>
            <w:r>
              <w:rPr>
                <w:rFonts w:hint="eastAsia" w:ascii="楷体" w:hAnsi="楷体" w:eastAsia="楷体" w:cs="Times New Roman"/>
                <w:sz w:val="24"/>
                <w:szCs w:val="24"/>
                <w:lang w:val="en-US" w:eastAsia="zh-CN"/>
              </w:rPr>
              <w:t>认购申请撤销时间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5443"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2024年1月10日</w:t>
            </w:r>
            <w:r>
              <w:rPr>
                <w:rFonts w:hint="eastAsia" w:ascii="楷体" w:hAnsi="楷体" w:eastAsia="楷体" w:cs="Times New Roman"/>
                <w:sz w:val="24"/>
                <w:szCs w:val="24"/>
              </w:rPr>
              <w:t>17:00前</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认购资金的清算</w:t>
      </w:r>
    </w:p>
    <w:p>
      <w:pPr>
        <w:ind w:firstLine="480" w:firstLineChars="200"/>
        <w:rPr>
          <w:rFonts w:hint="eastAsia" w:ascii="楷体" w:hAnsi="楷体" w:eastAsia="楷体"/>
          <w:color w:val="auto"/>
          <w:sz w:val="24"/>
          <w:szCs w:val="24"/>
          <w:highlight w:val="none"/>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认购份额登记日</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lang w:val="en-US" w:eastAsia="zh-CN"/>
              </w:rPr>
            </w:pPr>
            <w:r>
              <w:rPr>
                <w:rFonts w:hint="eastAsia" w:ascii="楷体" w:hAnsi="楷体" w:eastAsia="楷体" w:cs="Times New Roman"/>
                <w:sz w:val="24"/>
                <w:szCs w:val="24"/>
                <w:vertAlign w:val="baseline"/>
                <w:lang w:val="en-US" w:eastAsia="zh-CN"/>
              </w:rPr>
              <w:t>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Times New Roman"/>
                <w:sz w:val="24"/>
                <w:szCs w:val="24"/>
                <w:vertAlign w:val="baseline"/>
              </w:rPr>
            </w:pPr>
            <w:r>
              <w:rPr>
                <w:rFonts w:hint="eastAsia" w:ascii="楷体" w:hAnsi="楷体" w:eastAsia="楷体" w:cs="Times New Roman"/>
                <w:sz w:val="24"/>
                <w:szCs w:val="24"/>
              </w:rPr>
              <w:t>认购份额登记日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val="en-US" w:eastAsia="zh-CN"/>
              </w:rPr>
              <w:t>A/C/D/F/G/L份额</w:t>
            </w:r>
          </w:p>
        </w:tc>
        <w:tc>
          <w:tcPr>
            <w:tcW w:w="3402" w:type="dxa"/>
            <w:noWrap w:val="0"/>
            <w:vAlign w:val="center"/>
          </w:tcPr>
          <w:p>
            <w:pPr>
              <w:keepNext w:val="0"/>
              <w:keepLines w:val="0"/>
              <w:numPr>
                <w:ilvl w:val="0"/>
                <w:numId w:val="0"/>
              </w:numPr>
              <w:suppressLineNumbers w:val="0"/>
              <w:tabs>
                <w:tab w:val="left" w:pos="993"/>
              </w:tabs>
              <w:spacing w:before="0" w:beforeAutospacing="0" w:after="0" w:afterAutospacing="0"/>
              <w:ind w:left="0" w:leftChars="0" w:right="0" w:firstLine="0" w:firstLineChars="0"/>
              <w:jc w:val="center"/>
              <w:rPr>
                <w:rFonts w:hint="eastAsia" w:ascii="楷体" w:hAnsi="楷体" w:eastAsia="楷体" w:cs="Times New Roman"/>
                <w:sz w:val="24"/>
                <w:szCs w:val="24"/>
                <w:vertAlign w:val="baseline"/>
              </w:rPr>
            </w:pPr>
            <w:r>
              <w:rPr>
                <w:rFonts w:hint="eastAsia" w:ascii="楷体" w:hAnsi="楷体" w:eastAsia="楷体" w:cs="Times New Roman"/>
                <w:sz w:val="24"/>
                <w:szCs w:val="24"/>
                <w:lang w:eastAsia="zh-CN"/>
              </w:rPr>
              <w:t>2024年1月11日</w:t>
            </w:r>
          </w:p>
        </w:tc>
      </w:tr>
    </w:tbl>
    <w:p>
      <w:pPr>
        <w:numPr>
          <w:ilvl w:val="0"/>
          <w:numId w:val="12"/>
        </w:numPr>
        <w:tabs>
          <w:tab w:val="left" w:pos="993"/>
        </w:tabs>
        <w:ind w:left="0" w:firstLine="480" w:firstLineChars="200"/>
        <w:rPr>
          <w:rFonts w:hint="eastAsia" w:ascii="楷体" w:hAnsi="楷体" w:eastAsia="楷体"/>
          <w:sz w:val="24"/>
          <w:szCs w:val="24"/>
        </w:rPr>
      </w:pPr>
      <w:r>
        <w:rPr>
          <w:rFonts w:hint="eastAsia" w:ascii="楷体" w:hAnsi="楷体" w:eastAsia="楷体"/>
          <w:sz w:val="24"/>
          <w:szCs w:val="24"/>
        </w:rPr>
        <w:t>认购份额的计算</w:t>
      </w:r>
    </w:p>
    <w:p>
      <w:pPr>
        <w:ind w:firstLine="480" w:firstLineChars="200"/>
        <w:rPr>
          <w:rFonts w:hint="eastAsia"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hint="eastAsia"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numPr>
          <w:ilvl w:val="0"/>
          <w:numId w:val="2"/>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收益分配</w:t>
      </w:r>
    </w:p>
    <w:p>
      <w:pPr>
        <w:ind w:firstLine="480" w:firstLineChars="200"/>
        <w:rPr>
          <w:rFonts w:hint="eastAsia" w:ascii="楷体" w:hAnsi="楷体" w:eastAsia="楷体"/>
          <w:sz w:val="24"/>
          <w:szCs w:val="24"/>
        </w:rPr>
      </w:pPr>
      <w:r>
        <w:rPr>
          <w:rFonts w:hint="eastAsia" w:ascii="楷体" w:hAnsi="楷体" w:eastAsia="楷体"/>
          <w:sz w:val="24"/>
          <w:szCs w:val="24"/>
        </w:rPr>
        <w:t>投资者持有本理财产品期间及到期时，管理人不承诺保证投资本金安全且不保证理财收益，投资者收益（如有）随理财产品的投资盈亏水平浮动。</w:t>
      </w:r>
    </w:p>
    <w:p>
      <w:pPr>
        <w:ind w:firstLine="480" w:firstLineChars="200"/>
        <w:rPr>
          <w:rFonts w:hint="eastAsia" w:ascii="楷体" w:hAnsi="楷体" w:eastAsia="楷体"/>
          <w:sz w:val="24"/>
          <w:szCs w:val="24"/>
        </w:rPr>
      </w:pPr>
      <w:r>
        <w:rPr>
          <w:rFonts w:hint="eastAsia" w:ascii="楷体" w:hAnsi="楷体" w:eastAsia="楷体"/>
          <w:sz w:val="24"/>
          <w:szCs w:val="24"/>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80" w:firstLineChars="200"/>
        <w:rPr>
          <w:rFonts w:hint="eastAsia" w:ascii="楷体" w:hAnsi="楷体" w:eastAsia="楷体"/>
          <w:sz w:val="24"/>
          <w:szCs w:val="24"/>
        </w:rPr>
      </w:pPr>
      <w:r>
        <w:rPr>
          <w:rFonts w:hint="eastAsia" w:ascii="楷体" w:hAnsi="楷体" w:eastAsia="楷体"/>
          <w:sz w:val="24"/>
          <w:szCs w:val="24"/>
        </w:rPr>
        <w:t>分红计算示例：（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ind w:firstLine="480" w:firstLineChars="200"/>
        <w:rPr>
          <w:rFonts w:hint="eastAsia" w:ascii="楷体" w:hAnsi="楷体" w:eastAsia="楷体"/>
          <w:sz w:val="24"/>
          <w:szCs w:val="24"/>
        </w:rPr>
      </w:pPr>
      <w:r>
        <w:rPr>
          <w:rFonts w:hint="eastAsia" w:ascii="楷体" w:hAnsi="楷体" w:eastAsia="楷体"/>
          <w:sz w:val="24"/>
          <w:szCs w:val="24"/>
        </w:rPr>
        <w:t>1.情景一</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假定投资者在该投资周期持有该产品的份额为10,000.00份，该投资周期扣除固定费用（包括托管费、销售服务费、投资管理费）、运作产品所必须缴纳的税费、提取业绩报酬（如有）后，产品单位净值为1.0</w:t>
      </w:r>
      <w:r>
        <w:rPr>
          <w:rFonts w:ascii="楷体" w:hAnsi="楷体" w:eastAsia="楷体"/>
          <w:sz w:val="24"/>
          <w:szCs w:val="24"/>
        </w:rPr>
        <w:t>2</w:t>
      </w:r>
      <w:r>
        <w:rPr>
          <w:rFonts w:hint="eastAsia" w:ascii="楷体" w:hAnsi="楷体" w:eastAsia="楷体"/>
          <w:sz w:val="24"/>
          <w:szCs w:val="24"/>
        </w:rPr>
        <w:t>。理财产品单位净值大于面值，管理人可进行现金分红，每份额可获得的现金分红为0.0</w:t>
      </w:r>
      <w:r>
        <w:rPr>
          <w:rFonts w:ascii="楷体" w:hAnsi="楷体" w:eastAsia="楷体"/>
          <w:sz w:val="24"/>
          <w:szCs w:val="24"/>
        </w:rPr>
        <w:t>2</w:t>
      </w:r>
      <w:r>
        <w:rPr>
          <w:rFonts w:hint="eastAsia" w:ascii="楷体" w:hAnsi="楷体" w:eastAsia="楷体"/>
          <w:sz w:val="24"/>
          <w:szCs w:val="24"/>
        </w:rPr>
        <w:t>元。</w:t>
      </w:r>
    </w:p>
    <w:p>
      <w:pPr>
        <w:ind w:firstLine="480" w:firstLineChars="200"/>
        <w:rPr>
          <w:rFonts w:hint="eastAsia" w:ascii="楷体" w:hAnsi="楷体" w:eastAsia="楷体"/>
          <w:sz w:val="24"/>
          <w:szCs w:val="24"/>
        </w:rPr>
      </w:pPr>
      <w:r>
        <w:rPr>
          <w:rFonts w:hint="eastAsia" w:ascii="楷体" w:hAnsi="楷体" w:eastAsia="楷体"/>
          <w:sz w:val="24"/>
          <w:szCs w:val="24"/>
        </w:rPr>
        <w:t>该投资周期投资者可得分红=10,000.00×0.0</w:t>
      </w:r>
      <w:r>
        <w:rPr>
          <w:rFonts w:ascii="楷体" w:hAnsi="楷体" w:eastAsia="楷体"/>
          <w:sz w:val="24"/>
          <w:szCs w:val="24"/>
        </w:rPr>
        <w:t>2</w:t>
      </w:r>
      <w:r>
        <w:rPr>
          <w:rFonts w:hint="eastAsia" w:ascii="楷体" w:hAnsi="楷体" w:eastAsia="楷体"/>
          <w:sz w:val="24"/>
          <w:szCs w:val="24"/>
        </w:rPr>
        <w:t>=</w:t>
      </w:r>
      <w:r>
        <w:rPr>
          <w:rFonts w:ascii="楷体" w:hAnsi="楷体" w:eastAsia="楷体"/>
          <w:sz w:val="24"/>
          <w:szCs w:val="24"/>
        </w:rPr>
        <w:t>200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2.情景二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产品申购、赎回</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投资周期、开放计划</w:t>
      </w:r>
    </w:p>
    <w:p>
      <w:pPr>
        <w:ind w:firstLine="480" w:firstLineChars="200"/>
        <w:rPr>
          <w:rFonts w:hint="eastAsia" w:ascii="楷体" w:hAnsi="楷体" w:eastAsia="楷体"/>
          <w:sz w:val="24"/>
          <w:szCs w:val="24"/>
        </w:rPr>
      </w:pPr>
      <w:r>
        <w:rPr>
          <w:rFonts w:hint="eastAsia" w:ascii="楷体" w:hAnsi="楷体" w:eastAsia="楷体"/>
          <w:sz w:val="24"/>
          <w:szCs w:val="24"/>
        </w:rPr>
        <w:t>本产品成立日为</w:t>
      </w:r>
      <w:r>
        <w:rPr>
          <w:rFonts w:hint="eastAsia" w:ascii="楷体" w:hAnsi="楷体" w:eastAsia="楷体"/>
          <w:sz w:val="24"/>
          <w:szCs w:val="24"/>
          <w:lang w:eastAsia="zh-CN"/>
        </w:rPr>
        <w:t>2024年1月11日</w:t>
      </w:r>
      <w:r>
        <w:rPr>
          <w:rFonts w:hint="eastAsia" w:ascii="楷体" w:hAnsi="楷体" w:eastAsia="楷体"/>
          <w:sz w:val="24"/>
          <w:szCs w:val="24"/>
        </w:rPr>
        <w:t>，从成立日起，每</w:t>
      </w:r>
      <w:r>
        <w:rPr>
          <w:rFonts w:ascii="楷体" w:hAnsi="楷体" w:eastAsia="楷体"/>
          <w:sz w:val="24"/>
          <w:szCs w:val="24"/>
        </w:rPr>
        <w:t>6</w:t>
      </w:r>
      <w:r>
        <w:rPr>
          <w:rFonts w:hint="eastAsia" w:ascii="楷体" w:hAnsi="楷体" w:eastAsia="楷体"/>
          <w:sz w:val="24"/>
          <w:szCs w:val="24"/>
        </w:rPr>
        <w:t>个月为一个投资周期。第一个投资周期起始日为产品成立日，终止日为</w:t>
      </w:r>
      <w:r>
        <w:rPr>
          <w:rFonts w:hint="eastAsia" w:ascii="楷体" w:hAnsi="楷体" w:eastAsia="楷体"/>
          <w:sz w:val="24"/>
          <w:szCs w:val="24"/>
          <w:lang w:eastAsia="zh-CN"/>
        </w:rPr>
        <w:t>2024年7月15日</w:t>
      </w:r>
      <w:r>
        <w:rPr>
          <w:rFonts w:hint="eastAsia" w:ascii="楷体" w:hAnsi="楷体" w:eastAsia="楷体"/>
          <w:sz w:val="24"/>
          <w:szCs w:val="24"/>
        </w:rPr>
        <w:t>。对于第二个投资周期以及后续投资周期，每个投资周期起始日为上一投资周期终止日次日，终止日为其起始日后</w:t>
      </w:r>
      <w:r>
        <w:rPr>
          <w:rFonts w:ascii="楷体" w:hAnsi="楷体" w:eastAsia="楷体"/>
          <w:sz w:val="24"/>
          <w:szCs w:val="24"/>
        </w:rPr>
        <w:t>6</w:t>
      </w:r>
      <w:r>
        <w:rPr>
          <w:rFonts w:hint="eastAsia" w:ascii="楷体" w:hAnsi="楷体" w:eastAsia="楷体"/>
          <w:sz w:val="24"/>
          <w:szCs w:val="24"/>
        </w:rPr>
        <w:t>个月，具体日期以管理人公告为准。</w:t>
      </w:r>
    </w:p>
    <w:p>
      <w:pPr>
        <w:ind w:firstLine="480" w:firstLineChars="200"/>
        <w:rPr>
          <w:rFonts w:hint="eastAsia" w:ascii="楷体" w:hAnsi="楷体" w:eastAsia="楷体"/>
          <w:sz w:val="24"/>
          <w:szCs w:val="24"/>
        </w:rPr>
      </w:pPr>
      <w:r>
        <w:rPr>
          <w:rFonts w:hint="eastAsia" w:ascii="楷体" w:hAnsi="楷体" w:eastAsia="楷体"/>
          <w:sz w:val="24"/>
          <w:szCs w:val="24"/>
        </w:rPr>
        <w:t>本产品在每个投资周期结束前设置开放计划，时间为投资周期终止日前7</w:t>
      </w:r>
      <w:r>
        <w:rPr>
          <w:rFonts w:hint="eastAsia" w:ascii="楷体" w:hAnsi="楷体" w:eastAsia="楷体"/>
          <w:sz w:val="24"/>
          <w:szCs w:val="24"/>
          <w:lang w:val="en-US" w:eastAsia="zh-CN"/>
        </w:rPr>
        <w:t>个工作</w:t>
      </w:r>
      <w:r>
        <w:rPr>
          <w:rFonts w:hint="eastAsia" w:ascii="楷体" w:hAnsi="楷体" w:eastAsia="楷体"/>
          <w:sz w:val="24"/>
          <w:szCs w:val="24"/>
        </w:rPr>
        <w:t>日（含投资周期终止日），开放计划最后一日（即投资周期终止日）为开放日。投资者可在开放计划时间内通过销售机构提出申购/赎回申请，</w:t>
      </w:r>
      <w:r>
        <w:rPr>
          <w:rFonts w:hint="eastAsia" w:ascii="楷体" w:hAnsi="楷体" w:eastAsia="楷体"/>
          <w:b/>
          <w:sz w:val="24"/>
          <w:szCs w:val="24"/>
          <w:u w:val="single"/>
        </w:rPr>
        <w:t>除开放计划外的其他时间，管理人不接受投资者申购、赎回申请。</w:t>
      </w:r>
      <w:r>
        <w:rPr>
          <w:rFonts w:hint="eastAsia" w:ascii="楷体" w:hAnsi="楷体" w:eastAsia="楷体"/>
          <w:sz w:val="24"/>
          <w:szCs w:val="24"/>
        </w:rPr>
        <w:t>（以各销售机构设置的开放时间为准）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申购、赎回的规则</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申购、赎回的原则：本产品采用金额申购、份额赎回的原则，即申购以金额申请，赎回以份额申请。</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时间：投资者可在开放计划约定的时间内提交申购/赎回申请（以各销售机构设置的开放时间为准）。本产品首个投资周期及开放计划详见下表，后续投资周期及开放计划受资产运作情况、节假日安排等要素限制，管理人将在每个投资周期结束前通过本理财产品说明书约定的方式披露下一周期开放计划。</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71"/>
        <w:gridCol w:w="2268"/>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投资周期起始日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投资周期终止日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开放计划</w:t>
            </w:r>
          </w:p>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（申购/赎回时间）</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申购/赎回确认日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rPr>
              <w:t>1</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2024年1月11日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eastAsia="zh-CN"/>
              </w:rPr>
              <w:t>2024年7月15日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2024年7月</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2024年7月15日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2024年7月16日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rPr>
            </w:pPr>
            <w:r>
              <w:rPr>
                <w:rFonts w:hint="eastAsia" w:ascii="楷体" w:hAnsi="楷体" w:eastAsia="楷体" w:cs="Times New Roman"/>
                <w:szCs w:val="21"/>
                <w:lang w:val="en-US" w:eastAsia="zh-CN"/>
              </w:rPr>
              <w:t>2</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eastAsia="zh-CN"/>
              </w:rPr>
              <w:t>2024年</w:t>
            </w:r>
            <w:r>
              <w:rPr>
                <w:rFonts w:hint="eastAsia" w:ascii="楷体" w:hAnsi="楷体" w:eastAsia="楷体" w:cs="Times New Roman"/>
                <w:szCs w:val="21"/>
                <w:lang w:val="en-US" w:eastAsia="zh-CN"/>
              </w:rPr>
              <w:t>7</w:t>
            </w:r>
            <w:r>
              <w:rPr>
                <w:rFonts w:hint="eastAsia" w:ascii="楷体" w:hAnsi="楷体" w:eastAsia="楷体" w:cs="Times New Roman"/>
                <w:szCs w:val="21"/>
                <w:lang w:eastAsia="zh-CN"/>
              </w:rPr>
              <w:t>月</w:t>
            </w:r>
            <w:r>
              <w:rPr>
                <w:rFonts w:hint="eastAsia" w:ascii="楷体" w:hAnsi="楷体" w:eastAsia="楷体" w:cs="Times New Roman"/>
                <w:szCs w:val="21"/>
                <w:lang w:val="en-US" w:eastAsia="zh-CN"/>
              </w:rPr>
              <w:t>16</w:t>
            </w:r>
            <w:r>
              <w:rPr>
                <w:rFonts w:hint="eastAsia" w:ascii="楷体" w:hAnsi="楷体" w:eastAsia="楷体" w:cs="Times New Roman"/>
                <w:szCs w:val="21"/>
                <w:lang w:eastAsia="zh-CN"/>
              </w:rPr>
              <w:t>日</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2025年1月16日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8</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outlineLvl w:val="9"/>
              <w:rPr>
                <w:rFonts w:hint="eastAsia" w:ascii="楷体" w:hAnsi="楷体" w:eastAsia="楷体" w:cs="Times New Roman"/>
                <w:sz w:val="20"/>
                <w:szCs w:val="20"/>
                <w:lang w:eastAsia="zh-CN"/>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1</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16</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2025年1月17日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3</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2025年1月17日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2025年7月22日</w:t>
            </w:r>
          </w:p>
        </w:tc>
        <w:tc>
          <w:tcPr>
            <w:tcW w:w="2268"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14</w:t>
            </w:r>
            <w:r>
              <w:rPr>
                <w:rFonts w:hint="eastAsia" w:ascii="楷体" w:hAnsi="楷体" w:eastAsia="楷体" w:cs="Times New Roman"/>
                <w:sz w:val="20"/>
                <w:szCs w:val="20"/>
                <w:lang w:eastAsia="zh-CN"/>
              </w:rPr>
              <w:t>日</w:t>
            </w:r>
            <w:r>
              <w:rPr>
                <w:rFonts w:hint="eastAsia" w:ascii="楷体" w:hAnsi="楷体" w:eastAsia="楷体" w:cs="Times New Roman"/>
                <w:sz w:val="20"/>
                <w:szCs w:val="20"/>
              </w:rPr>
              <w:t>9:00</w:t>
            </w:r>
          </w:p>
          <w:p>
            <w:pPr>
              <w:keepNext w:val="0"/>
              <w:keepLines w:val="0"/>
              <w:suppressLineNumbers w:val="0"/>
              <w:spacing w:before="0" w:beforeAutospacing="0" w:after="0" w:afterAutospacing="0"/>
              <w:ind w:left="0" w:right="0"/>
              <w:jc w:val="center"/>
              <w:rPr>
                <w:rFonts w:hint="eastAsia" w:ascii="楷体" w:hAnsi="楷体" w:eastAsia="楷体" w:cs="Times New Roman"/>
                <w:sz w:val="20"/>
                <w:szCs w:val="20"/>
              </w:rPr>
            </w:pPr>
            <w:r>
              <w:rPr>
                <w:rFonts w:hint="eastAsia" w:ascii="楷体" w:hAnsi="楷体" w:eastAsia="楷体" w:cs="Times New Roman"/>
                <w:sz w:val="20"/>
                <w:szCs w:val="20"/>
              </w:rPr>
              <w:t>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0" w:lineRule="atLeast"/>
              <w:ind w:left="0" w:right="0"/>
              <w:jc w:val="both"/>
              <w:textAlignment w:val="auto"/>
              <w:outlineLvl w:val="9"/>
              <w:rPr>
                <w:rFonts w:hint="default" w:ascii="楷体" w:hAnsi="楷体" w:eastAsia="楷体" w:cs="Times New Roman"/>
                <w:szCs w:val="21"/>
                <w:lang w:val="en-US"/>
              </w:rPr>
            </w:pPr>
            <w:r>
              <w:rPr>
                <w:rFonts w:hint="eastAsia" w:ascii="楷体" w:hAnsi="楷体" w:eastAsia="楷体" w:cs="Times New Roman"/>
                <w:sz w:val="20"/>
                <w:szCs w:val="20"/>
                <w:lang w:eastAsia="zh-CN"/>
              </w:rPr>
              <w:t>202</w:t>
            </w:r>
            <w:r>
              <w:rPr>
                <w:rFonts w:hint="eastAsia" w:ascii="楷体" w:hAnsi="楷体" w:eastAsia="楷体" w:cs="Times New Roman"/>
                <w:sz w:val="20"/>
                <w:szCs w:val="20"/>
                <w:lang w:val="en-US" w:eastAsia="zh-CN"/>
              </w:rPr>
              <w:t>5</w:t>
            </w:r>
            <w:r>
              <w:rPr>
                <w:rFonts w:hint="eastAsia" w:ascii="楷体" w:hAnsi="楷体" w:eastAsia="楷体" w:cs="Times New Roman"/>
                <w:sz w:val="20"/>
                <w:szCs w:val="20"/>
                <w:lang w:eastAsia="zh-CN"/>
              </w:rPr>
              <w:t>年</w:t>
            </w:r>
            <w:r>
              <w:rPr>
                <w:rFonts w:hint="eastAsia" w:ascii="楷体" w:hAnsi="楷体" w:eastAsia="楷体" w:cs="Times New Roman"/>
                <w:sz w:val="20"/>
                <w:szCs w:val="20"/>
                <w:lang w:val="en-US" w:eastAsia="zh-CN"/>
              </w:rPr>
              <w:t>7</w:t>
            </w:r>
            <w:r>
              <w:rPr>
                <w:rFonts w:hint="eastAsia" w:ascii="楷体" w:hAnsi="楷体" w:eastAsia="楷体" w:cs="Times New Roman"/>
                <w:sz w:val="20"/>
                <w:szCs w:val="20"/>
                <w:lang w:eastAsia="zh-CN"/>
              </w:rPr>
              <w:t>月</w:t>
            </w:r>
            <w:r>
              <w:rPr>
                <w:rFonts w:hint="eastAsia" w:ascii="楷体" w:hAnsi="楷体" w:eastAsia="楷体" w:cs="Times New Roman"/>
                <w:sz w:val="20"/>
                <w:szCs w:val="20"/>
                <w:lang w:val="en-US" w:eastAsia="zh-CN"/>
              </w:rPr>
              <w:t>22</w:t>
            </w:r>
            <w:r>
              <w:rPr>
                <w:rFonts w:hint="eastAsia" w:ascii="楷体" w:hAnsi="楷体" w:eastAsia="楷体" w:cs="Times New Roman"/>
                <w:sz w:val="20"/>
                <w:szCs w:val="20"/>
                <w:lang w:eastAsia="zh-CN"/>
              </w:rPr>
              <w:t>日</w:t>
            </w:r>
            <w:r>
              <w:rPr>
                <w:rFonts w:hint="eastAsia" w:ascii="楷体" w:hAnsi="楷体" w:eastAsia="楷体" w:cs="Times New Roman"/>
                <w:sz w:val="20"/>
                <w:szCs w:val="20"/>
              </w:rPr>
              <w:t>17:00</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2025年7月23日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4</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eastAsia="zh-CN"/>
              </w:rPr>
            </w:pPr>
            <w:r>
              <w:rPr>
                <w:rFonts w:hint="eastAsia" w:ascii="楷体" w:hAnsi="楷体" w:eastAsia="楷体" w:cs="Times New Roman"/>
                <w:szCs w:val="21"/>
                <w:lang w:val="en-US" w:eastAsia="zh-CN"/>
              </w:rPr>
              <w:t>2025年7月23日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2026年1月26日</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楷体"/>
                <w:i w:val="0"/>
                <w:iCs w:val="0"/>
                <w:color w:val="000000"/>
                <w:kern w:val="0"/>
                <w:sz w:val="20"/>
                <w:szCs w:val="20"/>
                <w:u w:val="none"/>
                <w:lang w:val="en-US" w:eastAsia="zh-CN" w:bidi="ar"/>
              </w:rPr>
              <w:t>本投资周期申购/赎回确认日前7个工作日，具体时间以销售机构展示为准。</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2026年1月27日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5</w:t>
            </w:r>
          </w:p>
        </w:tc>
        <w:tc>
          <w:tcPr>
            <w:tcW w:w="1871" w:type="dxa"/>
            <w:noWrap w:val="0"/>
            <w:vAlign w:val="center"/>
          </w:tcPr>
          <w:p>
            <w:pPr>
              <w:keepNext w:val="0"/>
              <w:keepLines w:val="0"/>
              <w:suppressLineNumbers w:val="0"/>
              <w:spacing w:before="0" w:beforeAutospacing="0" w:after="0" w:afterAutospacing="0"/>
              <w:ind w:left="0" w:right="0"/>
              <w:jc w:val="center"/>
              <w:rPr>
                <w:rFonts w:hint="eastAsia" w:ascii="楷体" w:hAnsi="楷体" w:eastAsia="楷体" w:cs="Times New Roman"/>
                <w:szCs w:val="21"/>
                <w:lang w:val="en-US" w:eastAsia="zh-CN"/>
              </w:rPr>
            </w:pPr>
            <w:r>
              <w:rPr>
                <w:rFonts w:hint="eastAsia" w:ascii="楷体" w:hAnsi="楷体" w:eastAsia="楷体" w:cs="Times New Roman"/>
                <w:szCs w:val="21"/>
                <w:lang w:val="en-US" w:eastAsia="zh-CN"/>
              </w:rPr>
              <w:t>2026年1月27日</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w:t>
            </w:r>
          </w:p>
        </w:tc>
        <w:tc>
          <w:tcPr>
            <w:tcW w:w="2268"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 w:val="20"/>
                <w:szCs w:val="20"/>
                <w:lang w:val="en-US" w:eastAsia="zh-CN"/>
              </w:rPr>
            </w:pPr>
            <w:r>
              <w:rPr>
                <w:rFonts w:hint="eastAsia" w:ascii="楷体" w:hAnsi="楷体" w:eastAsia="楷体" w:cs="Times New Roman"/>
                <w:sz w:val="20"/>
                <w:szCs w:val="20"/>
                <w:lang w:val="en-US" w:eastAsia="zh-CN"/>
              </w:rPr>
              <w:t>-</w:t>
            </w:r>
          </w:p>
        </w:tc>
        <w:tc>
          <w:tcPr>
            <w:tcW w:w="1871" w:type="dxa"/>
            <w:noWrap w:val="0"/>
            <w:vAlign w:val="center"/>
          </w:tcPr>
          <w:p>
            <w:pPr>
              <w:keepNext w:val="0"/>
              <w:keepLines w:val="0"/>
              <w:suppressLineNumbers w:val="0"/>
              <w:spacing w:before="0" w:beforeAutospacing="0" w:after="0" w:afterAutospacing="0"/>
              <w:ind w:left="0" w:right="0"/>
              <w:jc w:val="center"/>
              <w:rPr>
                <w:rFonts w:hint="default" w:ascii="楷体" w:hAnsi="楷体" w:eastAsia="楷体" w:cs="Times New Roman"/>
                <w:szCs w:val="21"/>
                <w:lang w:val="en-US" w:eastAsia="zh-CN"/>
              </w:rPr>
            </w:pPr>
            <w:r>
              <w:rPr>
                <w:rFonts w:hint="eastAsia" w:ascii="楷体" w:hAnsi="楷体" w:eastAsia="楷体" w:cs="Times New Roman"/>
                <w:szCs w:val="21"/>
                <w:lang w:val="en-US" w:eastAsia="zh-CN"/>
              </w:rPr>
              <w:t>-</w:t>
            </w:r>
          </w:p>
        </w:tc>
      </w:tr>
    </w:tbl>
    <w:p>
      <w:pPr>
        <w:numPr>
          <w:ilvl w:val="0"/>
          <w:numId w:val="14"/>
        </w:numPr>
        <w:tabs>
          <w:tab w:val="left" w:pos="728"/>
        </w:tabs>
        <w:ind w:left="0" w:firstLine="480" w:firstLineChars="200"/>
        <w:rPr>
          <w:rFonts w:hint="eastAsia" w:ascii="楷体" w:hAnsi="楷体" w:eastAsia="楷体"/>
          <w:sz w:val="24"/>
          <w:szCs w:val="24"/>
        </w:rPr>
      </w:pPr>
      <w:r>
        <w:rPr>
          <w:rFonts w:ascii="楷体" w:hAnsi="楷体" w:eastAsia="楷体"/>
          <w:sz w:val="24"/>
          <w:szCs w:val="24"/>
        </w:rPr>
        <w:t>申购</w:t>
      </w:r>
      <w:r>
        <w:rPr>
          <w:rFonts w:hint="eastAsia" w:ascii="楷体" w:hAnsi="楷体" w:eastAsia="楷体"/>
          <w:sz w:val="24"/>
          <w:szCs w:val="24"/>
        </w:rPr>
        <w:t>、</w:t>
      </w:r>
      <w:r>
        <w:rPr>
          <w:rFonts w:ascii="楷体" w:hAnsi="楷体" w:eastAsia="楷体"/>
          <w:sz w:val="24"/>
          <w:szCs w:val="24"/>
        </w:rPr>
        <w:t>赎回的数额限制</w:t>
      </w:r>
      <w:r>
        <w:rPr>
          <w:rFonts w:hint="eastAsia" w:ascii="楷体" w:hAnsi="楷体" w:eastAsia="楷体"/>
          <w:sz w:val="24"/>
          <w:szCs w:val="24"/>
        </w:rPr>
        <w:t>（以各销售机构设置为准）</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3572"/>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default"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份额</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val="en-US" w:eastAsia="zh-CN"/>
              </w:rPr>
            </w:pPr>
            <w:r>
              <w:rPr>
                <w:rFonts w:hint="eastAsia" w:ascii="楷体" w:hAnsi="楷体" w:eastAsia="楷体" w:cs="Calibri"/>
                <w:b/>
                <w:bCs/>
                <w:sz w:val="20"/>
                <w:szCs w:val="20"/>
                <w:vertAlign w:val="baseline"/>
                <w:lang w:val="en-US" w:eastAsia="zh-CN"/>
              </w:rPr>
              <w:t>申购</w:t>
            </w:r>
          </w:p>
        </w:tc>
        <w:tc>
          <w:tcPr>
            <w:tcW w:w="3572" w:type="dxa"/>
            <w:noWrap w:val="0"/>
            <w:vAlign w:val="top"/>
          </w:tcPr>
          <w:p>
            <w:pPr>
              <w:keepNext w:val="0"/>
              <w:keepLines w:val="0"/>
              <w:numPr>
                <w:ilvl w:val="0"/>
                <w:numId w:val="0"/>
              </w:numPr>
              <w:suppressLineNumbers w:val="0"/>
              <w:tabs>
                <w:tab w:val="left" w:pos="993"/>
              </w:tabs>
              <w:spacing w:before="0" w:beforeAutospacing="0" w:after="0" w:afterAutospacing="0"/>
              <w:ind w:left="0" w:right="0"/>
              <w:jc w:val="center"/>
              <w:rPr>
                <w:rFonts w:hint="eastAsia" w:ascii="楷体" w:hAnsi="楷体" w:eastAsia="楷体" w:cs="Calibri"/>
                <w:b/>
                <w:bCs/>
                <w:sz w:val="20"/>
                <w:szCs w:val="20"/>
                <w:vertAlign w:val="baseline"/>
                <w:lang w:eastAsia="zh-CN"/>
              </w:rPr>
            </w:pPr>
            <w:r>
              <w:rPr>
                <w:rFonts w:hint="eastAsia" w:ascii="楷体" w:hAnsi="楷体" w:eastAsia="楷体" w:cs="Calibri"/>
                <w:b/>
                <w:bCs/>
                <w:sz w:val="20"/>
                <w:szCs w:val="20"/>
                <w:lang w:val="en-US" w:eastAsia="zh-CN"/>
              </w:rPr>
              <w:t>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A份额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lang w:val="en-US"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vertAlign w:val="baseline"/>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Calibri"/>
                <w:sz w:val="20"/>
                <w:szCs w:val="20"/>
                <w:vertAlign w:val="baseline"/>
              </w:rPr>
            </w:pPr>
            <w:r>
              <w:rPr>
                <w:rFonts w:hint="eastAsia" w:ascii="楷体" w:hAnsi="楷体" w:eastAsia="楷体" w:cs="楷体"/>
                <w:i w:val="0"/>
                <w:iCs w:val="0"/>
                <w:color w:val="000000"/>
                <w:kern w:val="0"/>
                <w:sz w:val="20"/>
                <w:szCs w:val="20"/>
                <w:u w:val="none"/>
                <w:lang w:val="en-US" w:eastAsia="zh-CN" w:bidi="ar"/>
              </w:rPr>
              <w:t>C份额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val="en-US"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Calibri"/>
                <w:sz w:val="20"/>
                <w:szCs w:val="20"/>
                <w:vertAlign w:val="baseline"/>
                <w:lang w:val="en-US"/>
              </w:rPr>
            </w:pPr>
            <w:r>
              <w:rPr>
                <w:rFonts w:hint="eastAsia" w:ascii="楷体" w:hAnsi="楷体" w:eastAsia="楷体" w:cs="楷体"/>
                <w:i w:val="0"/>
                <w:iCs w:val="0"/>
                <w:color w:val="000000"/>
                <w:kern w:val="0"/>
                <w:sz w:val="20"/>
                <w:szCs w:val="20"/>
                <w:u w:val="none"/>
                <w:lang w:val="en-US" w:eastAsia="zh-CN" w:bidi="ar"/>
              </w:rPr>
              <w:t>D份额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投资者每次申购金额以10,000元的整数倍递增，申购时若为首次投资，</w:t>
            </w:r>
            <w:r>
              <w:rPr>
                <w:rFonts w:hint="eastAsia" w:ascii="楷体" w:hAnsi="楷体" w:eastAsia="楷体" w:cs="Calibri"/>
                <w:sz w:val="20"/>
                <w:szCs w:val="20"/>
                <w:lang w:val="en-US" w:eastAsia="zh-CN"/>
              </w:rPr>
              <w:t>个人投资者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00,000元，</w:t>
            </w:r>
            <w:r>
              <w:rPr>
                <w:rFonts w:hint="eastAsia" w:ascii="楷体" w:hAnsi="楷体" w:eastAsia="楷体" w:cs="Calibri"/>
                <w:sz w:val="20"/>
                <w:szCs w:val="20"/>
                <w:lang w:val="en-US" w:eastAsia="zh-CN"/>
              </w:rPr>
              <w:t>机构投资者</w:t>
            </w:r>
            <w:r>
              <w:rPr>
                <w:rFonts w:hint="eastAsia" w:ascii="楷体" w:hAnsi="楷体" w:eastAsia="楷体" w:cs="Calibri"/>
                <w:sz w:val="20"/>
                <w:szCs w:val="20"/>
                <w:lang w:eastAsia="zh-CN"/>
              </w:rPr>
              <w:t>申购金额不得少于</w:t>
            </w:r>
            <w:r>
              <w:rPr>
                <w:rFonts w:hint="eastAsia" w:ascii="楷体" w:hAnsi="楷体" w:eastAsia="楷体" w:cs="Calibri"/>
                <w:sz w:val="20"/>
                <w:szCs w:val="20"/>
                <w:lang w:val="en-US" w:eastAsia="zh-CN"/>
              </w:rPr>
              <w:t>5</w:t>
            </w:r>
            <w:r>
              <w:rPr>
                <w:rFonts w:hint="eastAsia" w:ascii="楷体" w:hAnsi="楷体" w:eastAsia="楷体" w:cs="Calibri"/>
                <w:sz w:val="20"/>
                <w:szCs w:val="20"/>
                <w:lang w:eastAsia="zh-CN"/>
              </w:rPr>
              <w:t>0</w:t>
            </w:r>
            <w:r>
              <w:rPr>
                <w:rFonts w:hint="eastAsia" w:ascii="楷体" w:hAnsi="楷体" w:eastAsia="楷体" w:cs="Calibri"/>
                <w:sz w:val="20"/>
                <w:szCs w:val="20"/>
                <w:lang w:val="en-US" w:eastAsia="zh-CN"/>
              </w:rPr>
              <w:t>,</w:t>
            </w:r>
            <w:r>
              <w:rPr>
                <w:rFonts w:hint="eastAsia" w:ascii="楷体" w:hAnsi="楷体" w:eastAsia="楷体" w:cs="Calibri"/>
                <w:sz w:val="20"/>
                <w:szCs w:val="20"/>
                <w:lang w:eastAsia="zh-CN"/>
              </w:rPr>
              <w:t>000</w:t>
            </w:r>
            <w:r>
              <w:rPr>
                <w:rFonts w:hint="eastAsia" w:ascii="楷体" w:hAnsi="楷体" w:eastAsia="楷体" w:cs="Calibri"/>
                <w:sz w:val="20"/>
                <w:szCs w:val="20"/>
                <w:lang w:val="en-US" w:eastAsia="zh-CN"/>
              </w:rPr>
              <w:t>,000</w:t>
            </w:r>
            <w:r>
              <w:rPr>
                <w:rFonts w:hint="eastAsia" w:ascii="楷体" w:hAnsi="楷体" w:eastAsia="楷体" w:cs="Calibri"/>
                <w:sz w:val="20"/>
                <w:szCs w:val="20"/>
                <w:lang w:eastAsia="zh-CN"/>
              </w:rPr>
              <w:t>元，并</w:t>
            </w:r>
            <w:r>
              <w:rPr>
                <w:rFonts w:hint="eastAsia" w:ascii="楷体" w:hAnsi="楷体" w:eastAsia="楷体" w:cs="Calibri"/>
                <w:sz w:val="20"/>
                <w:szCs w:val="20"/>
                <w:lang w:val="en-US" w:eastAsia="zh-CN"/>
              </w:rPr>
              <w:t>均</w:t>
            </w:r>
            <w:r>
              <w:rPr>
                <w:rFonts w:hint="eastAsia" w:ascii="楷体" w:hAnsi="楷体" w:eastAsia="楷体" w:cs="Calibri"/>
                <w:sz w:val="20"/>
                <w:szCs w:val="20"/>
                <w:lang w:eastAsia="zh-CN"/>
              </w:rPr>
              <w:t>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kern w:val="2"/>
                <w:sz w:val="20"/>
                <w:szCs w:val="20"/>
                <w:vertAlign w:val="baseline"/>
                <w:lang w:val="en-US" w:eastAsia="zh-CN" w:bidi="ar-SA"/>
              </w:rPr>
            </w:pPr>
            <w:r>
              <w:rPr>
                <w:rFonts w:hint="eastAsia" w:ascii="楷体" w:hAnsi="楷体" w:eastAsia="楷体" w:cs="Calibri"/>
                <w:sz w:val="20"/>
                <w:szCs w:val="20"/>
                <w:lang w:eastAsia="zh-CN"/>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F份额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default"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G份额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投资者每次申购金额以10,000元的整数倍递增，申购时若为首次投资，申购金额不得少于10,000元，并以10,000元的整数倍递增。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noWrap w:val="0"/>
            <w:vAlign w:val="center"/>
          </w:tcPr>
          <w:p>
            <w:pPr>
              <w:keepNext w:val="0"/>
              <w:keepLines w:val="0"/>
              <w:pageBreakBefore w:val="0"/>
              <w:widowControl/>
              <w:suppressLineNumbers w:val="0"/>
              <w:wordWrap/>
              <w:topLinePunct w:val="0"/>
              <w:bidi w:val="0"/>
              <w:snapToGrid/>
              <w:spacing w:before="0" w:beforeAutospacing="0" w:after="0" w:afterAutospacing="0" w:line="0" w:lineRule="atLeast"/>
              <w:ind w:left="0" w:right="0"/>
              <w:jc w:val="center"/>
              <w:textAlignment w:val="center"/>
              <w:rPr>
                <w:rFonts w:hint="eastAsia" w:ascii="楷体" w:hAnsi="楷体" w:eastAsia="楷体" w:cs="楷体"/>
                <w:i w:val="0"/>
                <w:iCs w:val="0"/>
                <w:color w:val="000000"/>
                <w:kern w:val="0"/>
                <w:sz w:val="20"/>
                <w:szCs w:val="20"/>
                <w:u w:val="none"/>
                <w:lang w:val="en-US" w:eastAsia="zh-CN" w:bidi="ar"/>
              </w:rPr>
            </w:pPr>
            <w:r>
              <w:rPr>
                <w:rFonts w:hint="eastAsia" w:ascii="楷体" w:hAnsi="楷体" w:eastAsia="楷体" w:cs="楷体"/>
                <w:i w:val="0"/>
                <w:iCs w:val="0"/>
                <w:color w:val="000000"/>
                <w:kern w:val="0"/>
                <w:sz w:val="20"/>
                <w:szCs w:val="20"/>
                <w:u w:val="none"/>
                <w:lang w:val="en-US" w:eastAsia="zh-CN" w:bidi="ar"/>
              </w:rPr>
              <w:t>L份额</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lang w:eastAsia="zh-CN"/>
              </w:rPr>
            </w:pPr>
            <w:r>
              <w:rPr>
                <w:rFonts w:hint="eastAsia" w:ascii="楷体" w:hAnsi="楷体" w:eastAsia="楷体" w:cs="Calibri"/>
                <w:sz w:val="20"/>
                <w:szCs w:val="20"/>
                <w:lang w:eastAsia="zh-CN"/>
              </w:rPr>
              <w:t>投资者每次申购金额以1元的整数倍递增，申购时若为首次投资，申购金额不得少于1元，并以1元的整数倍递增。</w:t>
            </w:r>
          </w:p>
        </w:tc>
        <w:tc>
          <w:tcPr>
            <w:tcW w:w="3572" w:type="dxa"/>
            <w:noWrap w:val="0"/>
            <w:vAlign w:val="center"/>
          </w:tcPr>
          <w:p>
            <w:pPr>
              <w:pStyle w:val="36"/>
              <w:keepNext w:val="0"/>
              <w:keepLines w:val="0"/>
              <w:pageBreakBefore w:val="0"/>
              <w:suppressLineNumbers w:val="0"/>
              <w:kinsoku w:val="0"/>
              <w:wordWrap/>
              <w:overflowPunct w:val="0"/>
              <w:topLinePunct w:val="0"/>
              <w:bidi w:val="0"/>
              <w:snapToGrid/>
              <w:spacing w:before="0" w:beforeAutospacing="0" w:after="0" w:afterAutospacing="0" w:line="0" w:lineRule="atLeast"/>
              <w:ind w:left="0" w:right="73" w:rightChars="35"/>
              <w:jc w:val="both"/>
              <w:rPr>
                <w:rFonts w:hint="eastAsia" w:ascii="楷体" w:hAnsi="楷体" w:eastAsia="楷体" w:cs="Calibri"/>
                <w:sz w:val="20"/>
                <w:szCs w:val="20"/>
              </w:rPr>
            </w:pPr>
            <w:r>
              <w:rPr>
                <w:rFonts w:hint="eastAsia" w:ascii="楷体" w:hAnsi="楷体" w:eastAsia="楷体" w:cs="Calibri"/>
                <w:sz w:val="20"/>
                <w:szCs w:val="20"/>
              </w:rPr>
              <w:t>投资者每次赎回申请不得低于1份产品份额，赎回时或赎回后保留的产品份额余额不足1份的，在赎回时需一次全部赎回。</w:t>
            </w:r>
          </w:p>
        </w:tc>
      </w:tr>
    </w:tbl>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撤单操作：在开放计划约定时间内提交的申购/赎回申请可以在产品开放日17:00前撤销，之后不得撤销。（以各销售机构设置的撤单截止时间为准）</w:t>
      </w:r>
    </w:p>
    <w:p>
      <w:pPr>
        <w:numPr>
          <w:ilvl w:val="0"/>
          <w:numId w:val="14"/>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申购、赎回的确认：投资者申购/赎回本产品时采用“未知价”原则，投资者在开放计划时间内通过销售机构提出的申购/赎回申请，管理人于开放日后1个工作日按开放日单位净值对申购/赎回申请予以统一确认，未赎回的部分份额自动进入下一个投资周期。</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申购、赎回的操作</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提出申购、赎回申请</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投资者必须在产品开放计划内提出申购、赎回申请。投资者提出申购申请时，须备足购买资金。投资者提出赎回申请时，须有足够的理财产品份额余额。</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申购、赎回的确认</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管理人在每个开放日后的第1个工作日对投资者的申购、赎回申请的有效性进行登记并确认。</w:t>
      </w:r>
    </w:p>
    <w:p>
      <w:pPr>
        <w:numPr>
          <w:ilvl w:val="0"/>
          <w:numId w:val="15"/>
        </w:numPr>
        <w:tabs>
          <w:tab w:val="left" w:pos="728"/>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申购、赎回的支付</w:t>
      </w:r>
    </w:p>
    <w:p>
      <w:pPr>
        <w:ind w:firstLine="480" w:firstLineChars="200"/>
        <w:rPr>
          <w:rFonts w:hint="eastAsia" w:ascii="楷体" w:hAnsi="楷体" w:eastAsia="楷体"/>
          <w:sz w:val="24"/>
          <w:szCs w:val="24"/>
          <w:highlight w:val="none"/>
          <w:lang w:val="en-US" w:eastAsia="zh-CN"/>
        </w:rPr>
      </w:pPr>
      <w:r>
        <w:rPr>
          <w:rFonts w:hint="eastAsia" w:ascii="楷体" w:hAnsi="楷体" w:eastAsia="楷体"/>
          <w:sz w:val="24"/>
          <w:szCs w:val="24"/>
          <w:highlight w:val="none"/>
        </w:rPr>
        <w:t>管理人在每个开放日后的第1个工作日对投资者的申购申请进行确认</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如投资者通过代销渠道购买，由销售机构扣划投资者资金账户资金；如投资者通过苏银理财直营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资金清算以《理财产品销售协议书》约定为准。管理人在每个开放日后的第1个工作日对投资者的赎回申请进行确认，投资者赎回资金将在确认日后2个工作日内到达投资者资金账户。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申购份额的计算</w:t>
      </w:r>
    </w:p>
    <w:p>
      <w:pPr>
        <w:ind w:firstLine="480" w:firstLineChars="200"/>
        <w:rPr>
          <w:rFonts w:hint="eastAsia" w:ascii="楷体" w:hAnsi="楷体" w:eastAsia="楷体"/>
          <w:sz w:val="24"/>
          <w:szCs w:val="24"/>
        </w:rPr>
      </w:pPr>
      <w:r>
        <w:rPr>
          <w:rFonts w:hint="eastAsia" w:ascii="楷体" w:hAnsi="楷体" w:eastAsia="楷体"/>
          <w:sz w:val="24"/>
          <w:szCs w:val="24"/>
        </w:rPr>
        <w:t>申购份额=申购金额/开放日产品单位净值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申购份额以四舍五入的方法保留到小数点后两位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6"/>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申购1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元，</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p>
    <w:p>
      <w:pPr>
        <w:numPr>
          <w:ilvl w:val="0"/>
          <w:numId w:val="1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hint="eastAsia" w:ascii="楷体" w:hAnsi="楷体" w:eastAsia="楷体"/>
          <w:sz w:val="24"/>
          <w:szCs w:val="24"/>
        </w:rPr>
        <w:t>假定投资者申购10,000.00元，对应开放日产品单位净值为0.9975（不满足分红条件）。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投资者申购确认份额=10,000.00/0.9975=10,025.06份</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赎回金额的计算</w:t>
      </w:r>
    </w:p>
    <w:p>
      <w:pPr>
        <w:ind w:firstLine="480" w:firstLineChars="200"/>
        <w:rPr>
          <w:rFonts w:hint="eastAsia" w:ascii="楷体" w:hAnsi="楷体" w:eastAsia="楷体"/>
          <w:sz w:val="24"/>
          <w:szCs w:val="24"/>
        </w:rPr>
      </w:pPr>
      <w:r>
        <w:rPr>
          <w:rFonts w:hint="eastAsia" w:ascii="楷体" w:hAnsi="楷体" w:eastAsia="楷体"/>
          <w:sz w:val="24"/>
          <w:szCs w:val="24"/>
        </w:rPr>
        <w:t>赎回金额=赎回份额*开放日产品单位净值</w:t>
      </w:r>
    </w:p>
    <w:p>
      <w:pPr>
        <w:ind w:firstLine="480" w:firstLineChars="200"/>
        <w:rPr>
          <w:rFonts w:hint="eastAsia" w:ascii="楷体" w:hAnsi="楷体" w:eastAsia="楷体"/>
          <w:sz w:val="24"/>
          <w:szCs w:val="24"/>
        </w:rPr>
      </w:pPr>
      <w:r>
        <w:rPr>
          <w:rFonts w:hint="eastAsia" w:ascii="楷体" w:hAnsi="楷体" w:eastAsia="楷体"/>
          <w:sz w:val="24"/>
          <w:szCs w:val="24"/>
        </w:rPr>
        <w:t>赎回金额以四舍五入的方法保留到小数点后两位</w:t>
      </w:r>
    </w:p>
    <w:p>
      <w:pPr>
        <w:ind w:firstLine="480" w:firstLineChars="200"/>
        <w:rPr>
          <w:rFonts w:hint="eastAsia" w:ascii="楷体" w:hAnsi="楷体" w:eastAsia="楷体"/>
          <w:sz w:val="24"/>
          <w:szCs w:val="24"/>
        </w:rPr>
      </w:pPr>
      <w:r>
        <w:rPr>
          <w:rFonts w:hint="eastAsia" w:ascii="楷体" w:hAnsi="楷体" w:eastAsia="楷体"/>
          <w:sz w:val="24"/>
          <w:szCs w:val="24"/>
        </w:rPr>
        <w:t>计算示例：（</w:t>
      </w:r>
      <w:r>
        <w:rPr>
          <w:rFonts w:hint="eastAsia" w:ascii="楷体" w:hAnsi="楷体" w:eastAsia="楷体"/>
          <w:b/>
          <w:sz w:val="24"/>
          <w:szCs w:val="24"/>
          <w:u w:val="single"/>
        </w:rPr>
        <w:t>以下示例均为假设情况，不代表本产品实际投资业绩</w:t>
      </w:r>
      <w:r>
        <w:rPr>
          <w:rFonts w:hint="eastAsia" w:ascii="楷体" w:hAnsi="楷体" w:eastAsia="楷体"/>
          <w:sz w:val="24"/>
          <w:szCs w:val="24"/>
        </w:rPr>
        <w:t>）</w:t>
      </w:r>
    </w:p>
    <w:p>
      <w:pPr>
        <w:numPr>
          <w:ilvl w:val="0"/>
          <w:numId w:val="17"/>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情景一</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为1</w:t>
      </w:r>
      <w:r>
        <w:rPr>
          <w:rFonts w:hint="eastAsia" w:ascii="楷体" w:hAnsi="楷体" w:eastAsia="楷体"/>
          <w:sz w:val="24"/>
          <w:szCs w:val="24"/>
        </w:rPr>
        <w:t>.0000（开放日已分红除权）。</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w:t>
      </w:r>
      <w:r>
        <w:rPr>
          <w:rFonts w:ascii="楷体" w:hAnsi="楷体" w:eastAsia="楷体"/>
          <w:sz w:val="24"/>
          <w:szCs w:val="24"/>
        </w:rPr>
        <w:t>1</w:t>
      </w:r>
      <w:r>
        <w:rPr>
          <w:rFonts w:hint="eastAsia" w:ascii="楷体" w:hAnsi="楷体" w:eastAsia="楷体"/>
          <w:sz w:val="24"/>
          <w:szCs w:val="24"/>
        </w:rPr>
        <w:t>.0000=1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.00元</w:t>
      </w:r>
    </w:p>
    <w:p>
      <w:pPr>
        <w:ind w:firstLine="480" w:firstLineChars="200"/>
        <w:rPr>
          <w:rFonts w:hint="eastAsia" w:ascii="楷体" w:hAnsi="楷体" w:eastAsia="楷体"/>
          <w:sz w:val="24"/>
          <w:szCs w:val="24"/>
        </w:rPr>
      </w:pPr>
      <w:r>
        <w:rPr>
          <w:rFonts w:hint="eastAsia" w:ascii="楷体" w:hAnsi="楷体" w:eastAsia="楷体"/>
          <w:sz w:val="24"/>
          <w:szCs w:val="24"/>
        </w:rPr>
        <w:t>投资者现金分红金额计算示例详见上文“九、收益分配”。</w:t>
      </w:r>
    </w:p>
    <w:p>
      <w:pPr>
        <w:numPr>
          <w:ilvl w:val="0"/>
          <w:numId w:val="17"/>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情景二</w:t>
      </w:r>
    </w:p>
    <w:p>
      <w:pPr>
        <w:ind w:firstLine="480" w:firstLineChars="200"/>
        <w:rPr>
          <w:rFonts w:hint="eastAsia" w:ascii="楷体" w:hAnsi="楷体" w:eastAsia="楷体"/>
          <w:sz w:val="24"/>
          <w:szCs w:val="24"/>
        </w:rPr>
      </w:pPr>
      <w:r>
        <w:rPr>
          <w:rFonts w:ascii="楷体" w:hAnsi="楷体" w:eastAsia="楷体"/>
          <w:sz w:val="24"/>
          <w:szCs w:val="24"/>
        </w:rPr>
        <w:t>假定投资者</w:t>
      </w:r>
      <w:r>
        <w:rPr>
          <w:rFonts w:hint="eastAsia" w:ascii="楷体" w:hAnsi="楷体" w:eastAsia="楷体"/>
          <w:sz w:val="24"/>
          <w:szCs w:val="24"/>
        </w:rPr>
        <w:t>赎回1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.00份</w:t>
      </w:r>
      <w:r>
        <w:rPr>
          <w:rFonts w:ascii="楷体" w:hAnsi="楷体" w:eastAsia="楷体"/>
          <w:sz w:val="24"/>
          <w:szCs w:val="24"/>
        </w:rPr>
        <w:t>，</w:t>
      </w:r>
      <w:r>
        <w:rPr>
          <w:rFonts w:hint="eastAsia" w:ascii="楷体" w:hAnsi="楷体" w:eastAsia="楷体"/>
          <w:sz w:val="24"/>
          <w:szCs w:val="24"/>
        </w:rPr>
        <w:t>对应开放日产品单位净值</w:t>
      </w:r>
      <w:r>
        <w:rPr>
          <w:rFonts w:ascii="楷体" w:hAnsi="楷体" w:eastAsia="楷体"/>
          <w:sz w:val="24"/>
          <w:szCs w:val="24"/>
        </w:rPr>
        <w:t>为</w:t>
      </w:r>
      <w:r>
        <w:rPr>
          <w:rFonts w:hint="eastAsia" w:ascii="楷体" w:hAnsi="楷体" w:eastAsia="楷体"/>
          <w:sz w:val="24"/>
          <w:szCs w:val="24"/>
        </w:rPr>
        <w:t>0.9975（不满足分红条件）。</w:t>
      </w:r>
    </w:p>
    <w:p>
      <w:pPr>
        <w:ind w:firstLine="480" w:firstLineChars="200"/>
        <w:rPr>
          <w:rFonts w:hint="eastAsia" w:ascii="楷体" w:hAnsi="楷体" w:eastAsia="楷体"/>
          <w:sz w:val="24"/>
          <w:szCs w:val="24"/>
        </w:rPr>
      </w:pPr>
      <w:r>
        <w:rPr>
          <w:rFonts w:hint="eastAsia" w:ascii="楷体" w:hAnsi="楷体" w:eastAsia="楷体"/>
          <w:sz w:val="24"/>
          <w:szCs w:val="24"/>
        </w:rPr>
        <w:t>投资者赎回金额=1</w:t>
      </w:r>
      <w:r>
        <w:rPr>
          <w:rFonts w:ascii="楷体" w:hAnsi="楷体" w:eastAsia="楷体"/>
          <w:sz w:val="24"/>
          <w:szCs w:val="24"/>
        </w:rPr>
        <w:t>0</w:t>
      </w:r>
      <w:r>
        <w:rPr>
          <w:rFonts w:hint="eastAsia" w:ascii="楷体" w:hAnsi="楷体" w:eastAsia="楷体"/>
          <w:sz w:val="24"/>
          <w:szCs w:val="24"/>
        </w:rPr>
        <w:t>,</w:t>
      </w:r>
      <w:r>
        <w:rPr>
          <w:rFonts w:ascii="楷体" w:hAnsi="楷体" w:eastAsia="楷体"/>
          <w:sz w:val="24"/>
          <w:szCs w:val="24"/>
        </w:rPr>
        <w:t>000</w:t>
      </w:r>
      <w:r>
        <w:rPr>
          <w:rFonts w:hint="eastAsia" w:ascii="楷体" w:hAnsi="楷体" w:eastAsia="楷体"/>
          <w:sz w:val="24"/>
          <w:szCs w:val="24"/>
        </w:rPr>
        <w:t>.00*0.9975=9,975.00元</w:t>
      </w:r>
    </w:p>
    <w:p>
      <w:pPr>
        <w:ind w:firstLine="480" w:firstLineChars="200"/>
        <w:rPr>
          <w:rFonts w:hint="eastAsia" w:ascii="楷体" w:hAnsi="楷体" w:eastAsia="楷体"/>
          <w:sz w:val="24"/>
          <w:szCs w:val="24"/>
        </w:rPr>
      </w:pPr>
      <w:r>
        <w:rPr>
          <w:rFonts w:ascii="楷体" w:hAnsi="楷体" w:eastAsia="楷体"/>
          <w:sz w:val="24"/>
          <w:szCs w:val="24"/>
        </w:rPr>
        <w:t>投资者该投资周期无现金分红</w:t>
      </w:r>
      <w:r>
        <w:rPr>
          <w:rFonts w:hint="eastAsia" w:ascii="楷体" w:hAnsi="楷体" w:eastAsia="楷体"/>
          <w:sz w:val="24"/>
          <w:szCs w:val="24"/>
        </w:rPr>
        <w:t>，详见上文“九、收益分配”。</w:t>
      </w:r>
    </w:p>
    <w:p>
      <w:pPr>
        <w:ind w:firstLine="482" w:firstLineChars="200"/>
        <w:rPr>
          <w:rFonts w:hint="eastAsia" w:ascii="楷体" w:hAnsi="楷体" w:eastAsia="楷体"/>
          <w:b/>
          <w:sz w:val="24"/>
          <w:szCs w:val="24"/>
          <w:u w:val="single"/>
        </w:rPr>
      </w:pPr>
      <w:r>
        <w:rPr>
          <w:rFonts w:hint="eastAsia" w:ascii="楷体" w:hAnsi="楷体" w:eastAsia="楷体"/>
          <w:b/>
          <w:sz w:val="24"/>
          <w:szCs w:val="24"/>
          <w:u w:val="single"/>
        </w:rPr>
        <w:t>最不利的情形下，投资者可能损失100%本金。</w:t>
      </w:r>
    </w:p>
    <w:p>
      <w:pPr>
        <w:ind w:firstLine="482" w:firstLineChars="200"/>
        <w:rPr>
          <w:rFonts w:hint="eastAsia" w:ascii="楷体" w:hAnsi="楷体" w:eastAsia="楷体"/>
          <w:sz w:val="24"/>
          <w:szCs w:val="24"/>
        </w:rPr>
      </w:pPr>
      <w:r>
        <w:rPr>
          <w:rFonts w:hint="eastAsia" w:ascii="楷体" w:hAnsi="楷体" w:eastAsia="楷体"/>
          <w:b/>
          <w:sz w:val="24"/>
          <w:szCs w:val="24"/>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巨额赎回的认定及处理</w:t>
      </w:r>
    </w:p>
    <w:p>
      <w:pPr>
        <w:numPr>
          <w:ilvl w:val="0"/>
          <w:numId w:val="1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理财产品每个开放日投资者净赎回额（赎回申请份额总数扣除申购申请份额总数）超过本产品上一工作日日终份额10%时，即为发生巨额赎回。</w:t>
      </w:r>
    </w:p>
    <w:p>
      <w:pPr>
        <w:numPr>
          <w:ilvl w:val="0"/>
          <w:numId w:val="18"/>
        </w:numPr>
        <w:tabs>
          <w:tab w:val="left" w:pos="728"/>
        </w:tabs>
        <w:ind w:left="0" w:firstLine="480" w:firstLineChars="200"/>
        <w:rPr>
          <w:rFonts w:ascii="楷体" w:hAnsi="楷体" w:eastAsia="楷体"/>
          <w:sz w:val="24"/>
          <w:szCs w:val="24"/>
        </w:rPr>
      </w:pPr>
      <w:r>
        <w:rPr>
          <w:rFonts w:hint="eastAsia" w:ascii="楷体" w:hAnsi="楷体" w:eastAsia="楷体" w:cs="Calibri"/>
          <w:sz w:val="24"/>
          <w:szCs w:val="24"/>
        </w:rPr>
        <w:t>巨额赎回的处理</w:t>
      </w:r>
    </w:p>
    <w:p>
      <w:pPr>
        <w:ind w:firstLine="480" w:firstLineChars="200"/>
        <w:rPr>
          <w:rFonts w:ascii="楷体" w:hAnsi="楷体" w:eastAsia="楷体"/>
          <w:sz w:val="24"/>
          <w:szCs w:val="24"/>
        </w:rPr>
      </w:pPr>
      <w:r>
        <w:rPr>
          <w:rFonts w:hint="eastAsia" w:ascii="楷体" w:hAnsi="楷体" w:eastAsia="楷体"/>
          <w:sz w:val="24"/>
          <w:szCs w:val="24"/>
        </w:rPr>
        <w:t>产品管理人可以根据本产品当时的资产组合状况决定采取全额赎回、部分赎回、延期办理巨额赎回等措施，产品管理人将在采取相关措施后3个工作日内进行信息披露。</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ind w:firstLine="480" w:firstLineChars="200"/>
        <w:rPr>
          <w:rFonts w:hint="eastAsia" w:ascii="楷体" w:hAnsi="楷体" w:eastAsia="楷体"/>
          <w:sz w:val="24"/>
          <w:szCs w:val="24"/>
        </w:rPr>
      </w:pPr>
      <w:r>
        <w:rPr>
          <w:rFonts w:hint="eastAsia" w:ascii="楷体" w:hAnsi="楷体" w:eastAsia="楷体"/>
          <w:sz w:val="24"/>
          <w:szCs w:val="24"/>
        </w:rPr>
        <w:t>（3）对于该开放日内净赎回额超过本产品上一工作日日终份额10%时，管理人有权拒绝超过10%以上部分的赎回申请。未确认受理的赎回申请份额，投资者可选择将当日未获受理部分予以撤销（巨额赎回处理方式具体以</w:t>
      </w:r>
      <w:r>
        <w:rPr>
          <w:rFonts w:hint="eastAsia" w:ascii="楷体" w:hAnsi="楷体" w:eastAsia="楷体"/>
          <w:sz w:val="24"/>
          <w:szCs w:val="24"/>
          <w:lang w:val="en-US" w:eastAsia="zh-CN"/>
        </w:rPr>
        <w:t>销售</w:t>
      </w:r>
      <w:r>
        <w:rPr>
          <w:rFonts w:hint="eastAsia" w:ascii="楷体" w:hAnsi="楷体" w:eastAsia="楷体"/>
          <w:sz w:val="24"/>
          <w:szCs w:val="24"/>
        </w:rPr>
        <w:t>机构展示为准），未选择撤销的赎回申请，产品管理人可以延迟至下一开放日处理，转入下一开放日的赎回申请不享有优先确认权。</w:t>
      </w:r>
    </w:p>
    <w:p>
      <w:pPr>
        <w:numPr>
          <w:ilvl w:val="0"/>
          <w:numId w:val="0"/>
        </w:numPr>
        <w:tabs>
          <w:tab w:val="left" w:pos="1092"/>
        </w:tabs>
        <w:ind w:firstLine="480" w:firstLineChars="200"/>
        <w:rPr>
          <w:rFonts w:hint="eastAsia" w:ascii="楷体" w:hAnsi="楷体" w:eastAsia="楷体" w:cs="Calibri"/>
          <w:sz w:val="24"/>
          <w:szCs w:val="24"/>
          <w:highlight w:val="none"/>
        </w:rPr>
      </w:pP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4</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连续2个以上开放日发生巨额赎回的，管理人除有权选择全额赎回或部分赎回等措施外，对于已经接受的赎回申请，管理人可以延缓支付赎回款项，但延缓期限不得超过20个工作日。</w:t>
      </w:r>
    </w:p>
    <w:p>
      <w:pPr>
        <w:numPr>
          <w:ilvl w:val="0"/>
          <w:numId w:val="0"/>
        </w:numPr>
        <w:tabs>
          <w:tab w:val="left" w:pos="1092"/>
        </w:tabs>
        <w:ind w:firstLine="480" w:firstLineChars="200"/>
        <w:rPr>
          <w:rFonts w:hint="eastAsia" w:ascii="楷体" w:hAnsi="楷体" w:eastAsia="楷体"/>
          <w:sz w:val="24"/>
          <w:szCs w:val="24"/>
          <w:highlight w:val="none"/>
        </w:rPr>
      </w:pP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赎回资金到账：未发生</w:t>
      </w:r>
      <w:r>
        <w:rPr>
          <w:rFonts w:ascii="楷体" w:hAnsi="楷体" w:eastAsia="楷体" w:cs="Calibri"/>
          <w:sz w:val="24"/>
          <w:szCs w:val="24"/>
          <w:highlight w:val="none"/>
        </w:rPr>
        <w:t>巨额赎回的情况下，</w:t>
      </w:r>
      <w:r>
        <w:rPr>
          <w:rFonts w:hint="eastAsia" w:ascii="楷体" w:hAnsi="楷体" w:eastAsia="楷体" w:cs="Calibri"/>
          <w:sz w:val="24"/>
          <w:szCs w:val="24"/>
          <w:highlight w:val="none"/>
        </w:rPr>
        <w:t>实际赎回确认日后</w:t>
      </w:r>
      <w:r>
        <w:rPr>
          <w:rFonts w:hint="eastAsia" w:ascii="楷体" w:hAnsi="楷体" w:eastAsia="楷体" w:cs="Calibri"/>
          <w:sz w:val="24"/>
          <w:szCs w:val="24"/>
          <w:highlight w:val="none"/>
          <w:lang w:val="en-US" w:eastAsia="zh-CN"/>
        </w:rPr>
        <w:t>2</w:t>
      </w:r>
      <w:r>
        <w:rPr>
          <w:rFonts w:hint="eastAsia" w:ascii="楷体" w:hAnsi="楷体" w:eastAsia="楷体" w:cs="Calibri"/>
          <w:sz w:val="24"/>
          <w:szCs w:val="24"/>
          <w:highlight w:val="none"/>
        </w:rPr>
        <w:t>个工作日内到达投资者资金账户。</w:t>
      </w:r>
    </w:p>
    <w:p>
      <w:pPr>
        <w:numPr>
          <w:ilvl w:val="0"/>
          <w:numId w:val="13"/>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特殊情形及处理</w:t>
      </w:r>
    </w:p>
    <w:p>
      <w:pPr>
        <w:ind w:firstLine="482" w:firstLineChars="200"/>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（1）不可抗力的原因导致产品无法正常运作；</w:t>
      </w:r>
    </w:p>
    <w:p>
      <w:pPr>
        <w:numPr>
          <w:ilvl w:val="0"/>
          <w:numId w:val="0"/>
        </w:numPr>
        <w:tabs>
          <w:tab w:val="left" w:pos="728"/>
        </w:tabs>
        <w:ind w:left="0" w:leftChars="0" w:firstLine="480" w:firstLineChars="200"/>
        <w:rPr>
          <w:rFonts w:ascii="楷体" w:hAnsi="楷体" w:eastAsia="楷体" w:cs="Calibri"/>
          <w:sz w:val="24"/>
          <w:szCs w:val="24"/>
        </w:rPr>
      </w:pPr>
      <w:r>
        <w:rPr>
          <w:rFonts w:hint="eastAsia" w:ascii="楷体" w:hAnsi="楷体" w:eastAsia="楷体" w:cs="Calibri"/>
          <w:sz w:val="24"/>
          <w:szCs w:val="24"/>
        </w:rPr>
        <w:t>（2）超出产品单一投资者持有上限；</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3</w:t>
      </w:r>
      <w:r>
        <w:rPr>
          <w:rFonts w:hint="eastAsia" w:ascii="楷体" w:hAnsi="楷体" w:eastAsia="楷体" w:cs="Calibri"/>
          <w:sz w:val="24"/>
          <w:szCs w:val="24"/>
        </w:rPr>
        <w:t>）发生《理财产品说明书》约定的暂停估值的情形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4</w:t>
      </w:r>
      <w:r>
        <w:rPr>
          <w:rFonts w:hint="eastAsia" w:ascii="楷体" w:hAnsi="楷体" w:eastAsia="楷体" w:cs="Calibri"/>
          <w:sz w:val="24"/>
          <w:szCs w:val="24"/>
        </w:rPr>
        <w:t>）管理人接受某笔或者某些申购申请有可能导致单一投资者持有理财计划份额的比例达到或者超过50%的情形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w:t>
      </w:r>
      <w:r>
        <w:rPr>
          <w:rFonts w:hint="eastAsia" w:ascii="楷体" w:hAnsi="楷体" w:eastAsia="楷体" w:cs="Calibri"/>
          <w:sz w:val="24"/>
          <w:szCs w:val="24"/>
          <w:lang w:val="en-US" w:eastAsia="zh-CN"/>
        </w:rPr>
        <w:t>5</w:t>
      </w:r>
      <w:r>
        <w:rPr>
          <w:rFonts w:hint="eastAsia" w:ascii="楷体" w:hAnsi="楷体" w:eastAsia="楷体" w:cs="Calibri"/>
          <w:sz w:val="24"/>
          <w:szCs w:val="24"/>
        </w:rPr>
        <w:t>）当接受某笔或某些申购申请可能对存量理财计划份额持有人利益构成潜在重大不利影响时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w:t>
      </w:r>
      <w:r>
        <w:rPr>
          <w:rFonts w:hint="eastAsia" w:ascii="楷体" w:hAnsi="楷体" w:eastAsia="楷体" w:cs="Calibri"/>
          <w:sz w:val="24"/>
          <w:szCs w:val="24"/>
          <w:lang w:val="en-US" w:eastAsia="zh-CN"/>
        </w:rPr>
        <w:t>6</w:t>
      </w:r>
      <w:r>
        <w:rPr>
          <w:rFonts w:hint="eastAsia" w:ascii="楷体" w:hAnsi="楷体" w:eastAsia="楷体" w:cs="Calibri"/>
          <w:sz w:val="24"/>
          <w:szCs w:val="24"/>
        </w:rPr>
        <w:t>）法律、法规规定认定的其他情形。</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（1）不可抗力的原因导致管理人不能支付赎回款项；</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（2）触发巨额赎回条款；</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（3）发生《理财产品说明书》约定的暂停估值的情形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（4）当接受某笔或某些赎回申请可能对存量理财计划份额持有人利益构成潜在重大不利影响时</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（5）发生单个投资者单个开放日申请赎回理财计划份额超过理财产品总份额10%的情形</w:t>
      </w:r>
      <w:r>
        <w:rPr>
          <w:rFonts w:hint="eastAsia" w:ascii="楷体" w:hAnsi="楷体" w:eastAsia="楷体" w:cs="Calibri"/>
          <w:sz w:val="24"/>
          <w:szCs w:val="24"/>
          <w:lang w:eastAsia="zh-CN"/>
        </w:rPr>
        <w:t>；</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产品估值</w:t>
      </w:r>
    </w:p>
    <w:p>
      <w:pPr>
        <w:numPr>
          <w:ilvl w:val="0"/>
          <w:numId w:val="19"/>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本产品所拥有的各类证券、银行存款、应收款项及其它资产及负债。</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估值要求</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本产品资产估值的目的是客观、准确的反映资产净值，确定理财产品资产净值，并为理财产品的</w:t>
      </w:r>
      <w:r>
        <w:rPr>
          <w:rFonts w:hint="eastAsia" w:ascii="楷体" w:hAnsi="楷体" w:eastAsia="楷体"/>
          <w:sz w:val="24"/>
          <w:szCs w:val="24"/>
          <w:lang w:eastAsia="zh-CN"/>
        </w:rPr>
        <w:t>申购、赎回和</w:t>
      </w:r>
      <w:r>
        <w:rPr>
          <w:rFonts w:hint="eastAsia" w:ascii="楷体" w:hAnsi="楷体" w:eastAsia="楷体"/>
          <w:sz w:val="24"/>
          <w:szCs w:val="24"/>
        </w:rPr>
        <w:t>兑付提供计价依据。</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本产品单位净值精确到小数点后</w:t>
      </w:r>
      <w:r>
        <w:rPr>
          <w:rFonts w:hint="eastAsia" w:ascii="楷体" w:hAnsi="楷体" w:eastAsia="楷体"/>
          <w:sz w:val="24"/>
          <w:szCs w:val="24"/>
          <w:lang w:val="en-US" w:eastAsia="zh-CN"/>
        </w:rPr>
        <w:t>6</w:t>
      </w:r>
      <w:r>
        <w:rPr>
          <w:rFonts w:hint="eastAsia" w:ascii="楷体" w:hAnsi="楷体" w:eastAsia="楷体"/>
          <w:sz w:val="24"/>
          <w:szCs w:val="24"/>
        </w:rPr>
        <w:t>位，小数点</w:t>
      </w:r>
      <w:r>
        <w:rPr>
          <w:rFonts w:hint="eastAsia" w:ascii="楷体" w:hAnsi="楷体" w:eastAsia="楷体"/>
          <w:sz w:val="24"/>
          <w:szCs w:val="24"/>
          <w:lang w:val="en-US" w:eastAsia="zh-CN"/>
        </w:rPr>
        <w:t>6</w:t>
      </w:r>
      <w:r>
        <w:rPr>
          <w:rFonts w:hint="eastAsia" w:ascii="楷体" w:hAnsi="楷体" w:eastAsia="楷体"/>
          <w:sz w:val="24"/>
          <w:szCs w:val="24"/>
        </w:rPr>
        <w:t>位后截位。</w:t>
      </w:r>
    </w:p>
    <w:p>
      <w:pPr>
        <w:numPr>
          <w:ilvl w:val="0"/>
          <w:numId w:val="2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本产品每日估值，存续期内每周按说明书约定方式披露单位净值，每个开放日结束后2个工作日内通过本理财产品说明书约定方式披露上一投资周期终止日的单位净值、份额累计净值、认/申购价格和赎回价格。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估值方法</w:t>
      </w:r>
    </w:p>
    <w:p>
      <w:pPr>
        <w:numPr>
          <w:ilvl w:val="0"/>
          <w:numId w:val="21"/>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存款类资产、货币市场工具：以本金列示，逐日计提利息。</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货币市场基金：以估值截止时间点能够取得的最新每万份收益进行估值。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债券类资产：按公允价值进行估值，采用市价、第三方估值机构提供的估值价格、合理的估值技术或监管机构认可的其他估值方法进行估值。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债权类资产：按公允价值进行估值，采用合理的估值技术或监管机构认可的估值方法进行估值。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证券、基金、保险等资产管理计划和信托计划等资产（不含货币市场基金）：按照证券、基金、保险等资产管理计划和信托计划的管理人和托管人共同确认的最新净值或投资收益进行估值。</w:t>
      </w:r>
    </w:p>
    <w:p>
      <w:pPr>
        <w:numPr>
          <w:ilvl w:val="0"/>
          <w:numId w:val="21"/>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其他资产：按公允价值进行估值，采用合理的估值技术或监管机构认可的估值方法进行估值。</w:t>
      </w:r>
    </w:p>
    <w:p>
      <w:pPr>
        <w:ind w:firstLine="480" w:firstLineChars="200"/>
        <w:rPr>
          <w:rFonts w:hint="eastAsia"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资管计划管理人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暂停估值</w:t>
      </w:r>
    </w:p>
    <w:p>
      <w:pPr>
        <w:ind w:firstLine="480" w:firstLineChars="200"/>
        <w:rPr>
          <w:rFonts w:hint="eastAsia"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firstLine="562" w:firstLineChars="200"/>
        <w:outlineLvl w:val="1"/>
        <w:rPr>
          <w:rFonts w:hint="eastAsia" w:ascii="楷体" w:hAnsi="楷体" w:eastAsia="楷体"/>
          <w:b/>
          <w:sz w:val="28"/>
          <w:szCs w:val="28"/>
        </w:rPr>
      </w:pPr>
      <w:r>
        <w:rPr>
          <w:rFonts w:hint="eastAsia" w:ascii="楷体" w:hAnsi="楷体" w:eastAsia="楷体"/>
          <w:b/>
          <w:sz w:val="28"/>
          <w:szCs w:val="28"/>
        </w:rPr>
        <w:t>产品的终止与清算</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理财产品的终止</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w:t>
      </w:r>
      <w:r>
        <w:rPr>
          <w:rFonts w:hint="eastAsia" w:ascii="楷体" w:hAnsi="楷体" w:eastAsia="楷体"/>
          <w:color w:val="auto"/>
          <w:sz w:val="24"/>
          <w:szCs w:val="24"/>
          <w:highlight w:val="none"/>
        </w:rPr>
        <w:t>产品管理人有权</w:t>
      </w:r>
      <w:r>
        <w:rPr>
          <w:rFonts w:hint="eastAsia" w:ascii="楷体" w:hAnsi="楷体" w:eastAsia="楷体"/>
          <w:color w:val="auto"/>
          <w:sz w:val="24"/>
          <w:szCs w:val="24"/>
          <w:highlight w:val="none"/>
          <w:lang w:val="en-US" w:eastAsia="zh-CN"/>
        </w:rPr>
        <w:t>提前</w:t>
      </w:r>
      <w:r>
        <w:rPr>
          <w:rFonts w:hint="eastAsia" w:ascii="楷体" w:hAnsi="楷体" w:eastAsia="楷体"/>
          <w:color w:val="auto"/>
          <w:sz w:val="24"/>
          <w:szCs w:val="24"/>
          <w:highlight w:val="none"/>
        </w:rPr>
        <w:t>终止本产品</w:t>
      </w:r>
      <w:r>
        <w:rPr>
          <w:rFonts w:hint="eastAsia" w:ascii="楷体" w:hAnsi="楷体" w:eastAsia="楷体"/>
          <w:sz w:val="24"/>
          <w:szCs w:val="24"/>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因不可抗力原因导致理财产品无法继续运作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因法律法规变化或国家金融政策调整、紧急措施出台影响产品继续正常运作</w:t>
      </w:r>
      <w:r>
        <w:rPr>
          <w:rFonts w:hint="eastAsia" w:ascii="楷体" w:hAnsi="楷体" w:eastAsia="楷体" w:cs="Calibri"/>
          <w:color w:val="auto"/>
          <w:sz w:val="24"/>
          <w:szCs w:val="24"/>
          <w:highlight w:val="none"/>
          <w:lang w:eastAsia="zh-CN"/>
        </w:rPr>
        <w:t>；</w:t>
      </w:r>
    </w:p>
    <w:p>
      <w:pPr>
        <w:numPr>
          <w:ilvl w:val="0"/>
          <w:numId w:val="24"/>
        </w:numPr>
        <w:tabs>
          <w:tab w:val="left" w:pos="1092"/>
        </w:tabs>
        <w:ind w:left="0" w:firstLine="480" w:firstLineChars="200"/>
        <w:rPr>
          <w:rFonts w:ascii="楷体" w:hAnsi="楷体" w:eastAsia="楷体" w:cs="Calibri"/>
          <w:sz w:val="24"/>
          <w:szCs w:val="24"/>
          <w:highlight w:val="none"/>
        </w:rPr>
      </w:pPr>
      <w:r>
        <w:rPr>
          <w:rFonts w:hint="eastAsia" w:ascii="楷体" w:hAnsi="楷体" w:eastAsia="楷体" w:cs="Calibri"/>
          <w:color w:val="auto"/>
          <w:sz w:val="24"/>
          <w:szCs w:val="24"/>
          <w:highlight w:val="none"/>
        </w:rPr>
        <w:t>法律法规规定或监管部门认定的</w:t>
      </w:r>
      <w:r>
        <w:rPr>
          <w:rFonts w:hint="eastAsia" w:ascii="楷体" w:hAnsi="楷体" w:eastAsia="楷体" w:cs="Calibri"/>
          <w:sz w:val="24"/>
          <w:szCs w:val="24"/>
          <w:highlight w:val="none"/>
          <w:lang w:val="en-US" w:eastAsia="zh-CN"/>
        </w:rPr>
        <w:t>其他情形</w:t>
      </w:r>
      <w:r>
        <w:rPr>
          <w:rFonts w:hint="eastAsia" w:ascii="楷体" w:hAnsi="楷体" w:eastAsia="楷体" w:cs="Calibri"/>
          <w:sz w:val="24"/>
          <w:szCs w:val="24"/>
          <w:highlight w:val="none"/>
        </w:rPr>
        <w:t>。</w:t>
      </w:r>
    </w:p>
    <w:p>
      <w:pPr>
        <w:numPr>
          <w:ilvl w:val="0"/>
          <w:numId w:val="0"/>
        </w:numPr>
        <w:tabs>
          <w:tab w:val="left" w:pos="1092"/>
        </w:tabs>
        <w:ind w:left="0" w:leftChars="0" w:firstLine="480" w:firstLineChars="200"/>
        <w:rPr>
          <w:rFonts w:hint="eastAsia" w:ascii="楷体" w:hAnsi="楷体" w:eastAsia="楷体" w:cs="Calibri"/>
          <w:color w:val="auto"/>
          <w:sz w:val="24"/>
          <w:szCs w:val="24"/>
          <w:highlight w:val="none"/>
        </w:rPr>
      </w:pPr>
      <w:r>
        <w:rPr>
          <w:rFonts w:hint="eastAsia" w:ascii="楷体" w:hAnsi="楷体" w:eastAsia="楷体"/>
          <w:sz w:val="24"/>
          <w:szCs w:val="24"/>
          <w:highlight w:val="none"/>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3"/>
        </w:numPr>
        <w:tabs>
          <w:tab w:val="left" w:pos="728"/>
        </w:tabs>
        <w:ind w:left="0" w:firstLine="480" w:firstLineChars="200"/>
        <w:rPr>
          <w:rFonts w:hint="eastAsia" w:ascii="楷体" w:hAnsi="楷体" w:eastAsia="楷体" w:cs="Calibri"/>
          <w:b w:val="0"/>
          <w:color w:val="auto"/>
          <w:sz w:val="24"/>
          <w:szCs w:val="24"/>
          <w:highlight w:val="none"/>
        </w:rPr>
      </w:pPr>
      <w:r>
        <w:rPr>
          <w:rFonts w:hint="eastAsia" w:ascii="楷体" w:hAnsi="楷体" w:eastAsia="楷体" w:cs="Calibri"/>
          <w:b w:val="0"/>
          <w:color w:val="auto"/>
          <w:sz w:val="24"/>
          <w:szCs w:val="24"/>
          <w:highlight w:val="none"/>
          <w:lang w:val="en-US" w:eastAsia="zh-CN"/>
        </w:rPr>
        <w:t>正常兑付</w:t>
      </w:r>
    </w:p>
    <w:p>
      <w:pPr>
        <w:ind w:firstLine="480" w:firstLineChars="200"/>
        <w:rPr>
          <w:rFonts w:hint="default" w:ascii="楷体" w:hAnsi="楷体" w:eastAsia="楷体"/>
          <w:sz w:val="24"/>
          <w:szCs w:val="24"/>
          <w:lang w:val="en-US" w:eastAsia="zh-CN"/>
        </w:rPr>
      </w:pPr>
      <w:r>
        <w:rPr>
          <w:rFonts w:hint="eastAsia" w:ascii="楷体" w:hAnsi="楷体" w:eastAsia="楷体"/>
          <w:sz w:val="24"/>
          <w:szCs w:val="24"/>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★延期兑付</w:t>
      </w:r>
    </w:p>
    <w:p>
      <w:pPr>
        <w:ind w:firstLine="480" w:firstLineChars="200"/>
        <w:rPr>
          <w:rFonts w:hint="eastAsia"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产品终止日遇非工作日则顺延至下一工作日，投资者清算资金到账日将相应调整；</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因不可抗力、市场发生重大变化等原因导致产品项下对应的投资标的无法及时变现、无法及时收回资金；</w:t>
      </w:r>
    </w:p>
    <w:p>
      <w:pPr>
        <w:numPr>
          <w:ilvl w:val="0"/>
          <w:numId w:val="25"/>
        </w:numPr>
        <w:tabs>
          <w:tab w:val="left" w:pos="1092"/>
        </w:tabs>
        <w:ind w:left="0" w:firstLine="480" w:firstLineChars="200"/>
        <w:rPr>
          <w:rFonts w:hint="eastAsia" w:ascii="楷体" w:hAnsi="楷体" w:eastAsia="楷体" w:cs="Calibri"/>
          <w:color w:val="auto"/>
          <w:sz w:val="24"/>
          <w:szCs w:val="24"/>
          <w:highlight w:val="none"/>
        </w:rPr>
      </w:pPr>
      <w:r>
        <w:rPr>
          <w:rFonts w:hint="eastAsia" w:ascii="楷体" w:hAnsi="楷体" w:eastAsia="楷体" w:cs="Calibri"/>
          <w:color w:val="auto"/>
          <w:sz w:val="24"/>
          <w:szCs w:val="24"/>
          <w:highlight w:val="none"/>
        </w:rPr>
        <w:t>法律法规规定或监管部门认定的其他情形。</w:t>
      </w:r>
    </w:p>
    <w:p>
      <w:pPr>
        <w:numPr>
          <w:ilvl w:val="0"/>
          <w:numId w:val="0"/>
        </w:numPr>
        <w:tabs>
          <w:tab w:val="left" w:pos="1092"/>
        </w:tabs>
        <w:ind w:firstLine="480" w:firstLineChars="200"/>
        <w:rPr>
          <w:rFonts w:hint="eastAsia" w:ascii="楷体" w:hAnsi="楷体" w:eastAsia="楷体"/>
          <w:sz w:val="24"/>
          <w:szCs w:val="24"/>
        </w:rPr>
      </w:pPr>
      <w:r>
        <w:rPr>
          <w:rFonts w:hint="eastAsia" w:ascii="楷体" w:hAnsi="楷体" w:eastAsia="楷体"/>
          <w:color w:val="auto"/>
          <w:sz w:val="24"/>
          <w:szCs w:val="24"/>
          <w:highlight w:val="none"/>
        </w:rPr>
        <w:t>产品管理人决定延期兑付的，将至少提前</w:t>
      </w:r>
      <w:r>
        <w:rPr>
          <w:rFonts w:ascii="楷体" w:hAnsi="楷体" w:eastAsia="楷体"/>
          <w:color w:val="auto"/>
          <w:sz w:val="24"/>
          <w:szCs w:val="24"/>
          <w:highlight w:val="none"/>
        </w:rPr>
        <w:t>2</w:t>
      </w:r>
      <w:r>
        <w:rPr>
          <w:rFonts w:hint="eastAsia" w:ascii="楷体" w:hAnsi="楷体" w:eastAsia="楷体"/>
          <w:color w:val="auto"/>
          <w:sz w:val="24"/>
          <w:szCs w:val="24"/>
          <w:highlight w:val="none"/>
        </w:rPr>
        <w:t>个工作日（含）按说明书约定的信息披露方式予以披露。</w:t>
      </w:r>
    </w:p>
    <w:p>
      <w:pPr>
        <w:numPr>
          <w:ilvl w:val="0"/>
          <w:numId w:val="22"/>
        </w:numPr>
        <w:tabs>
          <w:tab w:val="left" w:pos="993"/>
        </w:tabs>
        <w:ind w:left="0" w:firstLine="482" w:firstLineChars="200"/>
        <w:outlineLvl w:val="2"/>
        <w:rPr>
          <w:rFonts w:hint="eastAsia" w:ascii="楷体" w:hAnsi="楷体" w:eastAsia="楷体"/>
          <w:b/>
          <w:sz w:val="24"/>
          <w:szCs w:val="24"/>
        </w:rPr>
      </w:pPr>
      <w:r>
        <w:rPr>
          <w:rFonts w:hint="eastAsia" w:ascii="楷体" w:hAnsi="楷体" w:eastAsia="楷体"/>
          <w:b/>
          <w:sz w:val="24"/>
          <w:szCs w:val="24"/>
        </w:rPr>
        <w:t>理财产品的清算</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26"/>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产品费用</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本产品费用包括托管费、销售服务费、投资管理费、超额业绩报酬（如有）以及产品运作和清算中产生的其他费用等。</w:t>
      </w:r>
    </w:p>
    <w:p>
      <w:pPr>
        <w:numPr>
          <w:ilvl w:val="0"/>
          <w:numId w:val="27"/>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计提方法、计提标准和支付方式</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托管费：本产品的托管费每日计提，按季支付，由托管行收取。计算方法如下：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每日应计提的托管费＝前一日的产品资产净值×托管费率÷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销售服务费：本产品的销售服务费每日计提，按季支付，由销售机构收取。计算方法如下：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每日应计提的销售服务费＝前一日的产品资产净值×销售服务费率÷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投资管理费：本产品的投资管理费每日计提，按</w:t>
      </w:r>
      <w:r>
        <w:rPr>
          <w:rFonts w:hint="eastAsia" w:ascii="楷体" w:hAnsi="楷体" w:eastAsia="楷体"/>
          <w:sz w:val="24"/>
          <w:szCs w:val="24"/>
          <w:lang w:val="en-US" w:eastAsia="zh-CN"/>
        </w:rPr>
        <w:t>月</w:t>
      </w:r>
      <w:r>
        <w:rPr>
          <w:rFonts w:hint="eastAsia" w:ascii="楷体" w:hAnsi="楷体" w:eastAsia="楷体"/>
          <w:sz w:val="24"/>
          <w:szCs w:val="24"/>
        </w:rPr>
        <w:t>支付，由管理人收取。计算方法如下：</w:t>
      </w:r>
    </w:p>
    <w:p>
      <w:pPr>
        <w:ind w:firstLine="480" w:firstLineChars="200"/>
        <w:rPr>
          <w:rFonts w:hint="eastAsia" w:ascii="楷体" w:hAnsi="楷体" w:eastAsia="楷体"/>
          <w:sz w:val="24"/>
          <w:szCs w:val="24"/>
        </w:rPr>
      </w:pPr>
      <w:r>
        <w:rPr>
          <w:rFonts w:hint="eastAsia" w:ascii="楷体" w:hAnsi="楷体" w:eastAsia="楷体"/>
          <w:sz w:val="24"/>
          <w:szCs w:val="24"/>
        </w:rPr>
        <w:t>每日应计提的投资管理费＝前一日的产品资产净值×投资管理费率÷</w:t>
      </w:r>
      <w:r>
        <w:rPr>
          <w:rFonts w:ascii="楷体" w:hAnsi="楷体" w:eastAsia="楷体"/>
          <w:sz w:val="24"/>
          <w:szCs w:val="24"/>
        </w:rPr>
        <w:t>365</w:t>
      </w:r>
    </w:p>
    <w:p>
      <w:pPr>
        <w:ind w:firstLine="480" w:firstLineChars="200"/>
        <w:rPr>
          <w:rFonts w:hint="eastAsia" w:ascii="楷体" w:hAnsi="楷体" w:eastAsia="楷体"/>
          <w:sz w:val="24"/>
          <w:szCs w:val="24"/>
        </w:rPr>
      </w:pPr>
      <w:r>
        <w:rPr>
          <w:rFonts w:hint="eastAsia" w:ascii="楷体" w:hAnsi="楷体" w:eastAsia="楷体"/>
          <w:sz w:val="24"/>
          <w:szCs w:val="24"/>
        </w:rPr>
        <w:t>四舍五入保留至小数点后两位</w:t>
      </w:r>
    </w:p>
    <w:p>
      <w:pPr>
        <w:numPr>
          <w:ilvl w:val="0"/>
          <w:numId w:val="28"/>
        </w:numPr>
        <w:tabs>
          <w:tab w:val="left" w:pos="728"/>
        </w:tabs>
        <w:ind w:left="0" w:firstLine="480" w:firstLineChars="200"/>
        <w:rPr>
          <w:rFonts w:ascii="楷体" w:hAnsi="楷体" w:eastAsia="楷体"/>
          <w:sz w:val="24"/>
          <w:szCs w:val="24"/>
        </w:rPr>
      </w:pPr>
      <w:r>
        <w:rPr>
          <w:rFonts w:hint="eastAsia" w:ascii="楷体" w:hAnsi="楷体" w:eastAsia="楷体"/>
          <w:sz w:val="24"/>
          <w:szCs w:val="24"/>
        </w:rPr>
        <w:t>超额业绩报酬：本产品设立业绩比较基准（产品管理人可根据市场情况等调整业绩比较基准，并至少于新的业绩比较基准启用日之前2个工作日进行公告），管理人按投资周期收取</w:t>
      </w:r>
      <w:r>
        <w:rPr>
          <w:rFonts w:hint="eastAsia" w:ascii="楷体" w:hAnsi="楷体" w:eastAsia="楷体" w:cs="Times New Roman"/>
          <w:sz w:val="24"/>
          <w:szCs w:val="24"/>
        </w:rPr>
        <w:t>超额业绩报酬。假设单一投资周期的各份额实际年化投资收益在扣除托管费、销售服务费、投资管理费以及运作产品所必须缴纳的税费后为R：</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若R&lt;业绩比较基准下限+（业绩比较基准上限-业绩比较基准下限）*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5%，管理人无超额业绩报酬；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5%≤R&lt;业绩比较基准上限，管理人对超出【业绩比较基准下限+（业绩比较基准上限-业绩比较基准下限）*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5%】的部分收取40%的超额业绩报酬；</w:t>
      </w:r>
    </w:p>
    <w:p>
      <w:pPr>
        <w:numPr>
          <w:ilvl w:val="0"/>
          <w:numId w:val="0"/>
        </w:numPr>
        <w:tabs>
          <w:tab w:val="left" w:pos="728"/>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若R≥业绩比较基准上限，管理人对【业绩比较基准下限+（业绩比较基准上限-业绩比较基准下限）*</w:t>
      </w:r>
      <w:r>
        <w:rPr>
          <w:rFonts w:hint="eastAsia" w:ascii="楷体" w:hAnsi="楷体" w:eastAsia="楷体" w:cs="Times New Roman"/>
          <w:sz w:val="24"/>
          <w:szCs w:val="24"/>
          <w:lang w:val="en-US" w:eastAsia="zh-CN"/>
        </w:rPr>
        <w:t>7</w:t>
      </w:r>
      <w:r>
        <w:rPr>
          <w:rFonts w:hint="eastAsia" w:ascii="楷体" w:hAnsi="楷体" w:eastAsia="楷体" w:cs="Times New Roman"/>
          <w:sz w:val="24"/>
          <w:szCs w:val="24"/>
        </w:rPr>
        <w:t>5%】与业绩比较基准上限之间的部分，收取40%的超额业绩报酬；管理人对超出业绩比较基准上限的部分，收取60%的超额业绩报酬。</w:t>
      </w:r>
    </w:p>
    <w:p>
      <w:pPr>
        <w:numPr>
          <w:ilvl w:val="0"/>
          <w:numId w:val="0"/>
        </w:numPr>
        <w:tabs>
          <w:tab w:val="left" w:pos="728"/>
        </w:tabs>
        <w:ind w:firstLine="480" w:firstLineChars="200"/>
        <w:rPr>
          <w:rFonts w:ascii="楷体" w:hAnsi="楷体" w:eastAsia="楷体"/>
          <w:sz w:val="24"/>
          <w:szCs w:val="24"/>
        </w:rPr>
      </w:pPr>
      <w:r>
        <w:rPr>
          <w:rFonts w:hint="eastAsia" w:ascii="楷体" w:hAnsi="楷体" w:eastAsia="楷体"/>
          <w:sz w:val="24"/>
          <w:szCs w:val="24"/>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pPr>
        <w:numPr>
          <w:ilvl w:val="0"/>
          <w:numId w:val="28"/>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产品运作和清算中产生的交易手续费、注册登记费、账户服务费、审计费、及其他应由本产品承担的费用，按照实际发生时从产品中列支。</w:t>
      </w:r>
    </w:p>
    <w:p>
      <w:pPr>
        <w:numPr>
          <w:ilvl w:val="0"/>
          <w:numId w:val="0"/>
        </w:numPr>
        <w:tabs>
          <w:tab w:val="left" w:pos="728"/>
        </w:tabs>
        <w:ind w:firstLine="480" w:firstLineChars="200"/>
        <w:rPr>
          <w:rFonts w:hint="eastAsia" w:ascii="楷体" w:hAnsi="楷体" w:eastAsia="楷体"/>
          <w:sz w:val="24"/>
          <w:szCs w:val="24"/>
        </w:rPr>
      </w:pPr>
      <w:r>
        <w:rPr>
          <w:rFonts w:hint="eastAsia" w:ascii="楷体" w:hAnsi="楷体" w:eastAsia="楷体"/>
          <w:sz w:val="24"/>
          <w:szCs w:val="24"/>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本产品不收取认购费用、申购费用、赎回费用</w:t>
      </w:r>
      <w:r>
        <w:rPr>
          <w:rFonts w:hint="eastAsia" w:ascii="楷体" w:hAnsi="楷体" w:eastAsia="楷体" w:cs="Times New Roman"/>
          <w:sz w:val="24"/>
          <w:szCs w:val="24"/>
          <w:highlight w:val="none"/>
        </w:rPr>
        <w:t>。</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0"/>
          <w:numId w:val="2"/>
        </w:numPr>
        <w:tabs>
          <w:tab w:val="left" w:pos="1414"/>
        </w:tabs>
        <w:ind w:firstLine="562" w:firstLineChars="200"/>
        <w:outlineLvl w:val="1"/>
        <w:rPr>
          <w:rFonts w:ascii="楷体" w:hAnsi="楷体" w:eastAsia="楷体"/>
          <w:b/>
          <w:sz w:val="28"/>
          <w:szCs w:val="28"/>
        </w:rPr>
      </w:pPr>
      <w:r>
        <w:rPr>
          <w:rFonts w:hint="eastAsia" w:ascii="楷体" w:hAnsi="楷体" w:eastAsia="楷体"/>
          <w:b/>
          <w:sz w:val="28"/>
          <w:szCs w:val="28"/>
        </w:rPr>
        <w:t>产品托管人</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29"/>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托管人职责</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安全保管理财产品财产；</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为理财产品开立银行托管账户、证券账户等；</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确认与执行理财产品资金划拨指令，办理理财产品资金的收付，核对理财产品资金划拨记录；</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建立与理财产品管理人的对账机制，复核理财产品资产净值、理财产品份额申购、赎回价格，及时核查投资资金的支付和到账情况；</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监督理财产品投资运作；</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办理与理财产品托管业务活动相关的信息披露事项；</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保存理财产品托管业务活动的记录、账册、报表和其他相关材料；</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对理财产品投资信息和相关资料承担保密责任；</w:t>
      </w:r>
    </w:p>
    <w:p>
      <w:pPr>
        <w:numPr>
          <w:ilvl w:val="0"/>
          <w:numId w:val="30"/>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国务院银行业监督管理机构规定的其他职责。</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信息披露</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信息披露内容</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产品类型、募集信息、产品净值、产品规模、托管安排、投资账户信息；</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产品投向、投资比例、持仓情况、杠杆水平以及主要投资风险；</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产品收益分配、各项费用情况；</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产品涉及关联交易；</w:t>
      </w:r>
    </w:p>
    <w:p>
      <w:pPr>
        <w:numPr>
          <w:ilvl w:val="0"/>
          <w:numId w:val="32"/>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其他影响本产品投资运作的重大事项、临时性信息披露等。</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信息披露频率</w:t>
      </w:r>
    </w:p>
    <w:p>
      <w:pPr>
        <w:numPr>
          <w:ilvl w:val="0"/>
          <w:numId w:val="33"/>
        </w:numPr>
        <w:tabs>
          <w:tab w:val="left" w:pos="728"/>
        </w:tabs>
        <w:ind w:left="0" w:firstLine="480" w:firstLineChars="200"/>
        <w:rPr>
          <w:rFonts w:ascii="楷体" w:hAnsi="楷体" w:eastAsia="楷体"/>
          <w:sz w:val="24"/>
          <w:szCs w:val="24"/>
        </w:rPr>
      </w:pPr>
      <w:r>
        <w:rPr>
          <w:rFonts w:hint="eastAsia" w:ascii="楷体" w:hAnsi="楷体" w:eastAsia="楷体"/>
          <w:sz w:val="24"/>
          <w:szCs w:val="24"/>
        </w:rPr>
        <w:t>发行公告：管理人在产品成立后5个工作日内，披露产品成立公告，内容包括理财产品成立日期和募集规模等信息。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到期公告：管理人在产品终止后5个工作日内，披露产品到期公告，内容包括理财产品的存续期限、终止日期、收费情况和收益分配情况等信息。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重大事项公告：管理人在发生可能对理财产品投资者或者理财产品收益产生重大事项的事件后2个工作日内发布重大事项公告。</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产品净值披露：本产品存续期内每周按说明书约定方式披露单位净值，每个开放日结束后2个工作日内通过本理财产品说明书约定方式披露上一投资周期终止日的单位净值、份额累计净值、认/申购价格和赎回价格。</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临时性信息披露：管理人将及时披露国务院银行业监督管理机构规定的其他信息或除重大事项事件以外的其他信息。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半年度整体报告：每半年披露从事理财业务活动的有关信息。</w:t>
      </w:r>
    </w:p>
    <w:p>
      <w:pPr>
        <w:numPr>
          <w:ilvl w:val="0"/>
          <w:numId w:val="33"/>
        </w:numPr>
        <w:tabs>
          <w:tab w:val="left" w:pos="728"/>
        </w:tabs>
        <w:ind w:left="0" w:firstLine="480" w:firstLineChars="200"/>
        <w:rPr>
          <w:rFonts w:hint="eastAsia" w:ascii="楷体" w:hAnsi="楷体" w:eastAsia="楷体"/>
          <w:sz w:val="24"/>
          <w:szCs w:val="24"/>
        </w:rPr>
      </w:pPr>
      <w:r>
        <w:rPr>
          <w:rFonts w:hint="eastAsia" w:ascii="楷体" w:hAnsi="楷体" w:eastAsia="楷体"/>
          <w:sz w:val="24"/>
          <w:szCs w:val="24"/>
        </w:rPr>
        <w:t>理财账单：管理人每月向投资者提供其所持有的理财产品账单，账单内容包括但不限于投资者持有的理财产品份额、认购金额、</w:t>
      </w:r>
      <w:r>
        <w:rPr>
          <w:rFonts w:hint="eastAsia" w:ascii="楷体" w:hAnsi="楷体" w:eastAsia="楷体"/>
          <w:sz w:val="24"/>
          <w:szCs w:val="24"/>
          <w:lang w:val="en-US" w:eastAsia="zh-CN"/>
        </w:rPr>
        <w:t>份额</w:t>
      </w:r>
      <w:r>
        <w:rPr>
          <w:rFonts w:hint="eastAsia" w:ascii="楷体" w:hAnsi="楷体" w:eastAsia="楷体"/>
          <w:sz w:val="24"/>
          <w:szCs w:val="24"/>
        </w:rPr>
        <w:t>单位净值、份额累计净值、资产净值、收益情况、投资者理财交易账户发生的交易明细记录等信息。</w:t>
      </w:r>
    </w:p>
    <w:p>
      <w:pPr>
        <w:numPr>
          <w:ilvl w:val="0"/>
          <w:numId w:val="31"/>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3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苏银理财将信息披露内容发送销售机构，由销售机构通过</w:t>
      </w:r>
      <w:r>
        <w:rPr>
          <w:rFonts w:hint="eastAsia" w:ascii="楷体" w:hAnsi="楷体" w:eastAsia="楷体" w:cs="Calibri"/>
          <w:sz w:val="24"/>
          <w:szCs w:val="24"/>
          <w:highlight w:val="none"/>
          <w:lang w:val="en-US" w:eastAsia="zh-CN"/>
        </w:rPr>
        <w:t>短信及</w:t>
      </w:r>
      <w:r>
        <w:rPr>
          <w:rFonts w:hint="eastAsia" w:ascii="楷体" w:hAnsi="楷体" w:eastAsia="楷体" w:cs="Calibri"/>
          <w:sz w:val="24"/>
          <w:szCs w:val="24"/>
          <w:highlight w:val="none"/>
        </w:rPr>
        <w:t>销售机构电子渠道和营业网点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hint="eastAsia" w:ascii="楷体" w:hAnsi="楷体" w:eastAsia="楷体"/>
          <w:sz w:val="24"/>
          <w:szCs w:val="24"/>
        </w:rPr>
      </w:pPr>
      <w:r>
        <w:rPr>
          <w:rFonts w:hint="eastAsia" w:ascii="楷体" w:hAnsi="楷体" w:eastAsia="楷体"/>
          <w:sz w:val="24"/>
          <w:szCs w:val="24"/>
        </w:rPr>
        <w:t>相关信息在发布或发出之日视为通知已送达投资者并生效，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请投资者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0"/>
          <w:numId w:val="2"/>
        </w:numPr>
        <w:tabs>
          <w:tab w:val="left" w:pos="1428"/>
        </w:tabs>
        <w:ind w:firstLine="562" w:firstLineChars="200"/>
        <w:outlineLvl w:val="1"/>
        <w:rPr>
          <w:rFonts w:ascii="楷体" w:hAnsi="楷体" w:eastAsia="楷体"/>
          <w:b/>
          <w:sz w:val="28"/>
          <w:szCs w:val="28"/>
        </w:rPr>
      </w:pPr>
      <w:r>
        <w:rPr>
          <w:rFonts w:hint="eastAsia" w:ascii="楷体" w:hAnsi="楷体" w:eastAsia="楷体"/>
          <w:b/>
          <w:sz w:val="28"/>
          <w:szCs w:val="28"/>
        </w:rPr>
        <w:t>其他</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信息安全</w:t>
      </w:r>
    </w:p>
    <w:p>
      <w:pPr>
        <w:ind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eastAsia="zh-CN"/>
        </w:rPr>
        <w:t>销售</w:t>
      </w:r>
      <w:r>
        <w:rPr>
          <w:rFonts w:hint="eastAsia" w:ascii="楷体" w:hAnsi="楷体" w:eastAsia="楷体"/>
          <w:sz w:val="24"/>
          <w:szCs w:val="24"/>
        </w:rPr>
        <w:t>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hint="eastAsia" w:ascii="楷体" w:hAnsi="楷体" w:eastAsia="楷体"/>
          <w:sz w:val="24"/>
          <w:szCs w:val="24"/>
          <w:highlight w:val="none"/>
        </w:rPr>
      </w:pPr>
      <w:r>
        <w:rPr>
          <w:rFonts w:hint="eastAsia" w:ascii="楷体" w:hAnsi="楷体" w:eastAsia="楷体"/>
          <w:sz w:val="24"/>
          <w:szCs w:val="24"/>
          <w:highlight w:val="none"/>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highlight w:val="none"/>
          <w:lang w:val="en-US" w:eastAsia="zh-CN"/>
        </w:rPr>
        <w:t>接触</w:t>
      </w:r>
      <w:r>
        <w:rPr>
          <w:rFonts w:hint="eastAsia" w:ascii="楷体" w:hAnsi="楷体" w:eastAsia="楷体"/>
          <w:sz w:val="24"/>
          <w:szCs w:val="24"/>
          <w:highlight w:val="none"/>
        </w:rPr>
        <w:t>并按照苏银理财的业务要求以及“最少必须”原则使用投资人个人信息。苏银理财承诺将向有关第三方明确其保护投资人信息的职责并要求第三方承担相应的保密义务。</w:t>
      </w:r>
    </w:p>
    <w:p>
      <w:pPr>
        <w:numPr>
          <w:ilvl w:val="0"/>
          <w:numId w:val="35"/>
        </w:numPr>
        <w:tabs>
          <w:tab w:val="left" w:pos="993"/>
        </w:tabs>
        <w:ind w:left="0" w:firstLine="482" w:firstLineChars="200"/>
        <w:outlineLvl w:val="2"/>
        <w:rPr>
          <w:rFonts w:ascii="楷体" w:hAnsi="楷体" w:eastAsia="楷体"/>
          <w:b/>
          <w:sz w:val="24"/>
          <w:szCs w:val="24"/>
        </w:rPr>
      </w:pPr>
      <w:r>
        <w:rPr>
          <w:rFonts w:hint="eastAsia" w:ascii="楷体" w:hAnsi="楷体" w:eastAsia="楷体"/>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rPr>
          <w:rFonts w:hint="eastAsia"/>
          <w:lang w:val="en-US" w:eastAsia="zh-CN"/>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5D0C4"/>
    <w:multiLevelType w:val="singleLevel"/>
    <w:tmpl w:val="EE75D0C4"/>
    <w:lvl w:ilvl="0" w:tentative="0">
      <w:start w:val="1"/>
      <w:numFmt w:val="decimal"/>
      <w:suff w:val="nothing"/>
      <w:lvlText w:val="（%1）"/>
      <w:lvlJc w:val="left"/>
    </w:lvl>
  </w:abstractNum>
  <w:abstractNum w:abstractNumId="1">
    <w:nsid w:val="01026B31"/>
    <w:multiLevelType w:val="multilevel"/>
    <w:tmpl w:val="01026B3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43EB"/>
    <w:multiLevelType w:val="multilevel"/>
    <w:tmpl w:val="0C3743E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2E5146A"/>
    <w:multiLevelType w:val="multilevel"/>
    <w:tmpl w:val="12E514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CB30410"/>
    <w:multiLevelType w:val="multilevel"/>
    <w:tmpl w:val="2CB3041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7"/>
  </w:num>
  <w:num w:numId="3">
    <w:abstractNumId w:val="13"/>
  </w:num>
  <w:num w:numId="4">
    <w:abstractNumId w:val="27"/>
  </w:num>
  <w:num w:numId="5">
    <w:abstractNumId w:val="22"/>
  </w:num>
  <w:num w:numId="6">
    <w:abstractNumId w:val="29"/>
  </w:num>
  <w:num w:numId="7">
    <w:abstractNumId w:val="8"/>
  </w:num>
  <w:num w:numId="8">
    <w:abstractNumId w:val="14"/>
  </w:num>
  <w:num w:numId="9">
    <w:abstractNumId w:val="0"/>
  </w:num>
  <w:num w:numId="10">
    <w:abstractNumId w:val="32"/>
  </w:num>
  <w:num w:numId="11">
    <w:abstractNumId w:val="23"/>
  </w:num>
  <w:num w:numId="12">
    <w:abstractNumId w:val="17"/>
  </w:num>
  <w:num w:numId="13">
    <w:abstractNumId w:val="9"/>
  </w:num>
  <w:num w:numId="14">
    <w:abstractNumId w:val="5"/>
  </w:num>
  <w:num w:numId="15">
    <w:abstractNumId w:val="10"/>
  </w:num>
  <w:num w:numId="16">
    <w:abstractNumId w:val="6"/>
  </w:num>
  <w:num w:numId="17">
    <w:abstractNumId w:val="1"/>
  </w:num>
  <w:num w:numId="18">
    <w:abstractNumId w:val="24"/>
  </w:num>
  <w:num w:numId="19">
    <w:abstractNumId w:val="21"/>
  </w:num>
  <w:num w:numId="20">
    <w:abstractNumId w:val="19"/>
  </w:num>
  <w:num w:numId="21">
    <w:abstractNumId w:val="4"/>
  </w:num>
  <w:num w:numId="22">
    <w:abstractNumId w:val="11"/>
  </w:num>
  <w:num w:numId="23">
    <w:abstractNumId w:val="28"/>
  </w:num>
  <w:num w:numId="24">
    <w:abstractNumId w:val="3"/>
  </w:num>
  <w:num w:numId="25">
    <w:abstractNumId w:val="30"/>
  </w:num>
  <w:num w:numId="26">
    <w:abstractNumId w:val="20"/>
  </w:num>
  <w:num w:numId="27">
    <w:abstractNumId w:val="18"/>
  </w:num>
  <w:num w:numId="28">
    <w:abstractNumId w:val="34"/>
  </w:num>
  <w:num w:numId="29">
    <w:abstractNumId w:val="26"/>
  </w:num>
  <w:num w:numId="30">
    <w:abstractNumId w:val="12"/>
  </w:num>
  <w:num w:numId="31">
    <w:abstractNumId w:val="33"/>
  </w:num>
  <w:num w:numId="32">
    <w:abstractNumId w:val="16"/>
  </w:num>
  <w:num w:numId="33">
    <w:abstractNumId w:val="31"/>
  </w:num>
  <w:num w:numId="34">
    <w:abstractNumId w:val="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6F2"/>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3601"/>
    <w:rsid w:val="00054158"/>
    <w:rsid w:val="00054854"/>
    <w:rsid w:val="00054EC8"/>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776F9"/>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C89"/>
    <w:rsid w:val="000F7D2C"/>
    <w:rsid w:val="00100F0C"/>
    <w:rsid w:val="001025A3"/>
    <w:rsid w:val="00103605"/>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456D"/>
    <w:rsid w:val="00125B8C"/>
    <w:rsid w:val="0012647A"/>
    <w:rsid w:val="001266AB"/>
    <w:rsid w:val="00127044"/>
    <w:rsid w:val="001303B2"/>
    <w:rsid w:val="00130EED"/>
    <w:rsid w:val="00130F7B"/>
    <w:rsid w:val="00131F1B"/>
    <w:rsid w:val="0013364F"/>
    <w:rsid w:val="00133AAF"/>
    <w:rsid w:val="00133B98"/>
    <w:rsid w:val="0013472F"/>
    <w:rsid w:val="00134733"/>
    <w:rsid w:val="00134B7E"/>
    <w:rsid w:val="001359ED"/>
    <w:rsid w:val="0013719A"/>
    <w:rsid w:val="00140B25"/>
    <w:rsid w:val="0014427A"/>
    <w:rsid w:val="001450DF"/>
    <w:rsid w:val="0014734D"/>
    <w:rsid w:val="00151CC7"/>
    <w:rsid w:val="00151ED4"/>
    <w:rsid w:val="00152B36"/>
    <w:rsid w:val="001530B2"/>
    <w:rsid w:val="001542A4"/>
    <w:rsid w:val="001543E7"/>
    <w:rsid w:val="00154F7A"/>
    <w:rsid w:val="00155B77"/>
    <w:rsid w:val="00160508"/>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278F"/>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4EE3"/>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6143"/>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37C"/>
    <w:rsid w:val="003039FF"/>
    <w:rsid w:val="00304D18"/>
    <w:rsid w:val="00305A15"/>
    <w:rsid w:val="00305F8C"/>
    <w:rsid w:val="00306353"/>
    <w:rsid w:val="003067DF"/>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0A42"/>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211"/>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0FF2"/>
    <w:rsid w:val="00393452"/>
    <w:rsid w:val="00393753"/>
    <w:rsid w:val="00394C2C"/>
    <w:rsid w:val="00395441"/>
    <w:rsid w:val="00396F85"/>
    <w:rsid w:val="0039723A"/>
    <w:rsid w:val="003A1CB9"/>
    <w:rsid w:val="003A254C"/>
    <w:rsid w:val="003A27B8"/>
    <w:rsid w:val="003A3D8C"/>
    <w:rsid w:val="003A539D"/>
    <w:rsid w:val="003A5FA1"/>
    <w:rsid w:val="003A6074"/>
    <w:rsid w:val="003A7623"/>
    <w:rsid w:val="003B1648"/>
    <w:rsid w:val="003B1725"/>
    <w:rsid w:val="003B242C"/>
    <w:rsid w:val="003B324C"/>
    <w:rsid w:val="003B43EE"/>
    <w:rsid w:val="003B4D64"/>
    <w:rsid w:val="003B531F"/>
    <w:rsid w:val="003B5DFB"/>
    <w:rsid w:val="003B6220"/>
    <w:rsid w:val="003B636C"/>
    <w:rsid w:val="003B6EEA"/>
    <w:rsid w:val="003B76DC"/>
    <w:rsid w:val="003C09CF"/>
    <w:rsid w:val="003C14E2"/>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AEF"/>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6C41"/>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454E"/>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C8F"/>
    <w:rsid w:val="00555DCF"/>
    <w:rsid w:val="00555F85"/>
    <w:rsid w:val="00560551"/>
    <w:rsid w:val="00561FE9"/>
    <w:rsid w:val="00562804"/>
    <w:rsid w:val="00562DC7"/>
    <w:rsid w:val="00564093"/>
    <w:rsid w:val="00564F46"/>
    <w:rsid w:val="005659B2"/>
    <w:rsid w:val="00566CB6"/>
    <w:rsid w:val="00567AAC"/>
    <w:rsid w:val="00571F0A"/>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C9D"/>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53F"/>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69C3"/>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2243"/>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510B"/>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3C6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0AD9"/>
    <w:rsid w:val="008B266F"/>
    <w:rsid w:val="008B3124"/>
    <w:rsid w:val="008B4D65"/>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399"/>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1BF1"/>
    <w:rsid w:val="00932818"/>
    <w:rsid w:val="00933086"/>
    <w:rsid w:val="0093420A"/>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CDB"/>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81F"/>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2382"/>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0C04"/>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A3"/>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4F6D"/>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77467"/>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705"/>
    <w:rsid w:val="00BC49C9"/>
    <w:rsid w:val="00BC5224"/>
    <w:rsid w:val="00BC6BAB"/>
    <w:rsid w:val="00BC6FDF"/>
    <w:rsid w:val="00BC7725"/>
    <w:rsid w:val="00BC7AE4"/>
    <w:rsid w:val="00BC7D79"/>
    <w:rsid w:val="00BC7D81"/>
    <w:rsid w:val="00BD02DD"/>
    <w:rsid w:val="00BD09E2"/>
    <w:rsid w:val="00BD1058"/>
    <w:rsid w:val="00BD2234"/>
    <w:rsid w:val="00BD4A4B"/>
    <w:rsid w:val="00BD4C27"/>
    <w:rsid w:val="00BD626E"/>
    <w:rsid w:val="00BD6E92"/>
    <w:rsid w:val="00BD7209"/>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198"/>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23F"/>
    <w:rsid w:val="00C9070B"/>
    <w:rsid w:val="00C92ABF"/>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5C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6237"/>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54C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2EC3"/>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5FBE"/>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42E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463589"/>
    <w:rsid w:val="01880462"/>
    <w:rsid w:val="01BD44F5"/>
    <w:rsid w:val="02437D0C"/>
    <w:rsid w:val="02663FCC"/>
    <w:rsid w:val="027D3ED4"/>
    <w:rsid w:val="029C17A3"/>
    <w:rsid w:val="02AC2867"/>
    <w:rsid w:val="02AD767C"/>
    <w:rsid w:val="02B56B89"/>
    <w:rsid w:val="030D7AB0"/>
    <w:rsid w:val="03944EF2"/>
    <w:rsid w:val="039759E9"/>
    <w:rsid w:val="039E0B4E"/>
    <w:rsid w:val="04045543"/>
    <w:rsid w:val="043B5124"/>
    <w:rsid w:val="044D2828"/>
    <w:rsid w:val="044F5401"/>
    <w:rsid w:val="04825F32"/>
    <w:rsid w:val="048B3EF4"/>
    <w:rsid w:val="048C3744"/>
    <w:rsid w:val="04AD4C6B"/>
    <w:rsid w:val="04AD6172"/>
    <w:rsid w:val="04B72DAB"/>
    <w:rsid w:val="04BA6991"/>
    <w:rsid w:val="04ED7701"/>
    <w:rsid w:val="050505BC"/>
    <w:rsid w:val="05084C8B"/>
    <w:rsid w:val="051E5CB0"/>
    <w:rsid w:val="052726FC"/>
    <w:rsid w:val="05437561"/>
    <w:rsid w:val="05C24554"/>
    <w:rsid w:val="05E565EA"/>
    <w:rsid w:val="061606D5"/>
    <w:rsid w:val="064F69A2"/>
    <w:rsid w:val="06703655"/>
    <w:rsid w:val="06B46E82"/>
    <w:rsid w:val="07061666"/>
    <w:rsid w:val="07264310"/>
    <w:rsid w:val="07731EDA"/>
    <w:rsid w:val="07813E66"/>
    <w:rsid w:val="078F6E8D"/>
    <w:rsid w:val="07CF0415"/>
    <w:rsid w:val="08166EC7"/>
    <w:rsid w:val="083C4697"/>
    <w:rsid w:val="084B6744"/>
    <w:rsid w:val="087361FB"/>
    <w:rsid w:val="08902DD8"/>
    <w:rsid w:val="0893124F"/>
    <w:rsid w:val="08B41D28"/>
    <w:rsid w:val="08F80683"/>
    <w:rsid w:val="09481E04"/>
    <w:rsid w:val="09534C3D"/>
    <w:rsid w:val="09576019"/>
    <w:rsid w:val="095B320D"/>
    <w:rsid w:val="099958A0"/>
    <w:rsid w:val="09A709F0"/>
    <w:rsid w:val="09AA6CA4"/>
    <w:rsid w:val="09DE7294"/>
    <w:rsid w:val="0A173570"/>
    <w:rsid w:val="0A4868EC"/>
    <w:rsid w:val="0A4E3AB5"/>
    <w:rsid w:val="0A8F5211"/>
    <w:rsid w:val="0AA34EFB"/>
    <w:rsid w:val="0ADD44AA"/>
    <w:rsid w:val="0AF001C8"/>
    <w:rsid w:val="0B1A08BB"/>
    <w:rsid w:val="0B47433B"/>
    <w:rsid w:val="0B707790"/>
    <w:rsid w:val="0B721E65"/>
    <w:rsid w:val="0BAE0C81"/>
    <w:rsid w:val="0C185298"/>
    <w:rsid w:val="0C45445B"/>
    <w:rsid w:val="0C5E5425"/>
    <w:rsid w:val="0C944AE0"/>
    <w:rsid w:val="0C973E26"/>
    <w:rsid w:val="0CEB7A42"/>
    <w:rsid w:val="0CEE6F06"/>
    <w:rsid w:val="0CF97467"/>
    <w:rsid w:val="0D076211"/>
    <w:rsid w:val="0D446647"/>
    <w:rsid w:val="0DAF4280"/>
    <w:rsid w:val="0DCF2703"/>
    <w:rsid w:val="0DD81606"/>
    <w:rsid w:val="0DDF0625"/>
    <w:rsid w:val="0E2603FA"/>
    <w:rsid w:val="0E2F3C31"/>
    <w:rsid w:val="0E894835"/>
    <w:rsid w:val="0EA17082"/>
    <w:rsid w:val="0F654FB0"/>
    <w:rsid w:val="0F754D51"/>
    <w:rsid w:val="0FA33859"/>
    <w:rsid w:val="0FAE4789"/>
    <w:rsid w:val="0FB16086"/>
    <w:rsid w:val="0FFF3649"/>
    <w:rsid w:val="100F298C"/>
    <w:rsid w:val="1079774E"/>
    <w:rsid w:val="1086640A"/>
    <w:rsid w:val="108C1C3A"/>
    <w:rsid w:val="108E1095"/>
    <w:rsid w:val="10931140"/>
    <w:rsid w:val="109B7D77"/>
    <w:rsid w:val="10E55ACF"/>
    <w:rsid w:val="10F86685"/>
    <w:rsid w:val="11350E01"/>
    <w:rsid w:val="114D7B90"/>
    <w:rsid w:val="115621F2"/>
    <w:rsid w:val="118C278E"/>
    <w:rsid w:val="11901742"/>
    <w:rsid w:val="11D04006"/>
    <w:rsid w:val="11D965ED"/>
    <w:rsid w:val="11EC350B"/>
    <w:rsid w:val="11FC2251"/>
    <w:rsid w:val="12323636"/>
    <w:rsid w:val="12614085"/>
    <w:rsid w:val="12906351"/>
    <w:rsid w:val="129E4936"/>
    <w:rsid w:val="12E10D31"/>
    <w:rsid w:val="12F90576"/>
    <w:rsid w:val="13657B38"/>
    <w:rsid w:val="136D1AC7"/>
    <w:rsid w:val="13A4655C"/>
    <w:rsid w:val="13EB4DC2"/>
    <w:rsid w:val="140B33E9"/>
    <w:rsid w:val="14381629"/>
    <w:rsid w:val="14921F27"/>
    <w:rsid w:val="149E4339"/>
    <w:rsid w:val="14C32636"/>
    <w:rsid w:val="14CD5364"/>
    <w:rsid w:val="15817B5F"/>
    <w:rsid w:val="158E7E44"/>
    <w:rsid w:val="15CF287D"/>
    <w:rsid w:val="15CF685F"/>
    <w:rsid w:val="15DF4C1A"/>
    <w:rsid w:val="160076D9"/>
    <w:rsid w:val="163216C9"/>
    <w:rsid w:val="16717C60"/>
    <w:rsid w:val="16D34A53"/>
    <w:rsid w:val="16D5416C"/>
    <w:rsid w:val="17061518"/>
    <w:rsid w:val="17570594"/>
    <w:rsid w:val="175F5C40"/>
    <w:rsid w:val="178C370E"/>
    <w:rsid w:val="17A115B9"/>
    <w:rsid w:val="17BA313B"/>
    <w:rsid w:val="18485B9A"/>
    <w:rsid w:val="18887BCD"/>
    <w:rsid w:val="18B275C6"/>
    <w:rsid w:val="18CB2B68"/>
    <w:rsid w:val="19270461"/>
    <w:rsid w:val="192B2CC4"/>
    <w:rsid w:val="193E23D2"/>
    <w:rsid w:val="19552750"/>
    <w:rsid w:val="195F39CC"/>
    <w:rsid w:val="198316F4"/>
    <w:rsid w:val="19866070"/>
    <w:rsid w:val="19A03892"/>
    <w:rsid w:val="19F76CF3"/>
    <w:rsid w:val="1A463B3C"/>
    <w:rsid w:val="1A5E0991"/>
    <w:rsid w:val="1AE87C38"/>
    <w:rsid w:val="1B081AAC"/>
    <w:rsid w:val="1B1644A1"/>
    <w:rsid w:val="1B1A3472"/>
    <w:rsid w:val="1B262D07"/>
    <w:rsid w:val="1B432DC7"/>
    <w:rsid w:val="1B5015DA"/>
    <w:rsid w:val="1B60003E"/>
    <w:rsid w:val="1B7D4BD2"/>
    <w:rsid w:val="1BF50FD3"/>
    <w:rsid w:val="1C044D65"/>
    <w:rsid w:val="1C4C6C3C"/>
    <w:rsid w:val="1C853B67"/>
    <w:rsid w:val="1CAC5485"/>
    <w:rsid w:val="1CB447D3"/>
    <w:rsid w:val="1CE66A75"/>
    <w:rsid w:val="1CE744BA"/>
    <w:rsid w:val="1D530520"/>
    <w:rsid w:val="1D624827"/>
    <w:rsid w:val="1D7F4D6F"/>
    <w:rsid w:val="1D9360E6"/>
    <w:rsid w:val="1DAC7E70"/>
    <w:rsid w:val="1DEB481D"/>
    <w:rsid w:val="1DFD7864"/>
    <w:rsid w:val="1E02132A"/>
    <w:rsid w:val="1EAE1EFC"/>
    <w:rsid w:val="1ECE785D"/>
    <w:rsid w:val="1F053407"/>
    <w:rsid w:val="1F127A1E"/>
    <w:rsid w:val="1F16796E"/>
    <w:rsid w:val="1F1C0115"/>
    <w:rsid w:val="1F4910F1"/>
    <w:rsid w:val="1F5E32BF"/>
    <w:rsid w:val="1F7B5898"/>
    <w:rsid w:val="1F960075"/>
    <w:rsid w:val="1FE92722"/>
    <w:rsid w:val="1FFC1C70"/>
    <w:rsid w:val="208C27F0"/>
    <w:rsid w:val="20E93259"/>
    <w:rsid w:val="210247FC"/>
    <w:rsid w:val="211C3761"/>
    <w:rsid w:val="21830708"/>
    <w:rsid w:val="21994ACB"/>
    <w:rsid w:val="21D76BFA"/>
    <w:rsid w:val="21EC06D8"/>
    <w:rsid w:val="222A0DD8"/>
    <w:rsid w:val="224E1196"/>
    <w:rsid w:val="225459BF"/>
    <w:rsid w:val="22626E35"/>
    <w:rsid w:val="22734564"/>
    <w:rsid w:val="22957DC6"/>
    <w:rsid w:val="22CE335E"/>
    <w:rsid w:val="23026BDF"/>
    <w:rsid w:val="23066D5B"/>
    <w:rsid w:val="234B3F83"/>
    <w:rsid w:val="234E7C3F"/>
    <w:rsid w:val="23884C38"/>
    <w:rsid w:val="23CC4D6F"/>
    <w:rsid w:val="23DE761C"/>
    <w:rsid w:val="23F5276C"/>
    <w:rsid w:val="241146AD"/>
    <w:rsid w:val="242E4AC5"/>
    <w:rsid w:val="246C4F26"/>
    <w:rsid w:val="247058DA"/>
    <w:rsid w:val="24AE36B3"/>
    <w:rsid w:val="24D63B89"/>
    <w:rsid w:val="250D50B1"/>
    <w:rsid w:val="254E752B"/>
    <w:rsid w:val="25736534"/>
    <w:rsid w:val="259C5174"/>
    <w:rsid w:val="25AB0BC2"/>
    <w:rsid w:val="25B32DCA"/>
    <w:rsid w:val="2612291C"/>
    <w:rsid w:val="261351E4"/>
    <w:rsid w:val="26383E29"/>
    <w:rsid w:val="26930344"/>
    <w:rsid w:val="26B62CD9"/>
    <w:rsid w:val="26C80235"/>
    <w:rsid w:val="26D75FF3"/>
    <w:rsid w:val="270521E9"/>
    <w:rsid w:val="27065738"/>
    <w:rsid w:val="271E6EEA"/>
    <w:rsid w:val="27231ABA"/>
    <w:rsid w:val="277B5DB0"/>
    <w:rsid w:val="27F000E6"/>
    <w:rsid w:val="282213C7"/>
    <w:rsid w:val="284635B8"/>
    <w:rsid w:val="284D27E8"/>
    <w:rsid w:val="28544CF4"/>
    <w:rsid w:val="289419A8"/>
    <w:rsid w:val="28A904E4"/>
    <w:rsid w:val="28D53B5D"/>
    <w:rsid w:val="290408D8"/>
    <w:rsid w:val="29163A09"/>
    <w:rsid w:val="29374942"/>
    <w:rsid w:val="294E2DC2"/>
    <w:rsid w:val="2966392B"/>
    <w:rsid w:val="29856946"/>
    <w:rsid w:val="29877A95"/>
    <w:rsid w:val="29A6579E"/>
    <w:rsid w:val="29C45E39"/>
    <w:rsid w:val="2A254610"/>
    <w:rsid w:val="2A3B3339"/>
    <w:rsid w:val="2A885785"/>
    <w:rsid w:val="2A8E286C"/>
    <w:rsid w:val="2B992916"/>
    <w:rsid w:val="2BAE60A8"/>
    <w:rsid w:val="2BC236FD"/>
    <w:rsid w:val="2BD06B14"/>
    <w:rsid w:val="2C0F4465"/>
    <w:rsid w:val="2C430C75"/>
    <w:rsid w:val="2C431ACF"/>
    <w:rsid w:val="2C8E54B7"/>
    <w:rsid w:val="2C9F7A9F"/>
    <w:rsid w:val="2CA03B11"/>
    <w:rsid w:val="2CA704E8"/>
    <w:rsid w:val="2CB523D4"/>
    <w:rsid w:val="2D100634"/>
    <w:rsid w:val="2D2C1113"/>
    <w:rsid w:val="2D315D56"/>
    <w:rsid w:val="2D334B54"/>
    <w:rsid w:val="2D4A2383"/>
    <w:rsid w:val="2DB23EAD"/>
    <w:rsid w:val="2DBE1CB8"/>
    <w:rsid w:val="2DF11E3C"/>
    <w:rsid w:val="2E411057"/>
    <w:rsid w:val="2E995E2C"/>
    <w:rsid w:val="2ECC33FC"/>
    <w:rsid w:val="2EEA3089"/>
    <w:rsid w:val="2EEF4F93"/>
    <w:rsid w:val="2EF847F3"/>
    <w:rsid w:val="2F14646A"/>
    <w:rsid w:val="2F623F10"/>
    <w:rsid w:val="305A1BD2"/>
    <w:rsid w:val="30795FAE"/>
    <w:rsid w:val="30EC1F03"/>
    <w:rsid w:val="313A5F04"/>
    <w:rsid w:val="31490396"/>
    <w:rsid w:val="31550423"/>
    <w:rsid w:val="31A326AD"/>
    <w:rsid w:val="31C36C9B"/>
    <w:rsid w:val="31D71D58"/>
    <w:rsid w:val="31DD2EED"/>
    <w:rsid w:val="31E12CCA"/>
    <w:rsid w:val="32E06116"/>
    <w:rsid w:val="32E13316"/>
    <w:rsid w:val="3301632F"/>
    <w:rsid w:val="3302137C"/>
    <w:rsid w:val="332B28ED"/>
    <w:rsid w:val="33652F20"/>
    <w:rsid w:val="336B039B"/>
    <w:rsid w:val="33A57B02"/>
    <w:rsid w:val="340121F5"/>
    <w:rsid w:val="34554B1A"/>
    <w:rsid w:val="34624022"/>
    <w:rsid w:val="347663FF"/>
    <w:rsid w:val="349204AB"/>
    <w:rsid w:val="34A623E5"/>
    <w:rsid w:val="34AE4ACF"/>
    <w:rsid w:val="34B31628"/>
    <w:rsid w:val="34D05355"/>
    <w:rsid w:val="34E06695"/>
    <w:rsid w:val="34F33587"/>
    <w:rsid w:val="351C08D6"/>
    <w:rsid w:val="353A5708"/>
    <w:rsid w:val="353B7940"/>
    <w:rsid w:val="35AA0E18"/>
    <w:rsid w:val="35AF3D1E"/>
    <w:rsid w:val="36055C6F"/>
    <w:rsid w:val="360B2D83"/>
    <w:rsid w:val="361B3D43"/>
    <w:rsid w:val="362A21C7"/>
    <w:rsid w:val="362A7306"/>
    <w:rsid w:val="36433849"/>
    <w:rsid w:val="365D339C"/>
    <w:rsid w:val="367750C8"/>
    <w:rsid w:val="36805B26"/>
    <w:rsid w:val="368A2ACE"/>
    <w:rsid w:val="36C6076B"/>
    <w:rsid w:val="36C97E46"/>
    <w:rsid w:val="371A2603"/>
    <w:rsid w:val="376D550C"/>
    <w:rsid w:val="376E41E1"/>
    <w:rsid w:val="37830E5C"/>
    <w:rsid w:val="37C91F43"/>
    <w:rsid w:val="37F44956"/>
    <w:rsid w:val="37FB1526"/>
    <w:rsid w:val="38061476"/>
    <w:rsid w:val="382658FC"/>
    <w:rsid w:val="383F19D6"/>
    <w:rsid w:val="38405B2E"/>
    <w:rsid w:val="38444280"/>
    <w:rsid w:val="38563E9E"/>
    <w:rsid w:val="386065C9"/>
    <w:rsid w:val="38E22BD3"/>
    <w:rsid w:val="38F537D9"/>
    <w:rsid w:val="38FD29F8"/>
    <w:rsid w:val="39453283"/>
    <w:rsid w:val="39520BBE"/>
    <w:rsid w:val="39802C27"/>
    <w:rsid w:val="399D3FFC"/>
    <w:rsid w:val="39A52E64"/>
    <w:rsid w:val="39E61473"/>
    <w:rsid w:val="3A5F6372"/>
    <w:rsid w:val="3A6F7C03"/>
    <w:rsid w:val="3A7007EE"/>
    <w:rsid w:val="3A8A144F"/>
    <w:rsid w:val="3A944955"/>
    <w:rsid w:val="3ACA38F1"/>
    <w:rsid w:val="3B0A455B"/>
    <w:rsid w:val="3B7E5E5A"/>
    <w:rsid w:val="3B9519DF"/>
    <w:rsid w:val="3BB730EC"/>
    <w:rsid w:val="3BD777F0"/>
    <w:rsid w:val="3BE57419"/>
    <w:rsid w:val="3BED503B"/>
    <w:rsid w:val="3C213D1A"/>
    <w:rsid w:val="3C350E86"/>
    <w:rsid w:val="3C563F5E"/>
    <w:rsid w:val="3C810AAF"/>
    <w:rsid w:val="3CC47E43"/>
    <w:rsid w:val="3D105572"/>
    <w:rsid w:val="3D153712"/>
    <w:rsid w:val="3D205CE9"/>
    <w:rsid w:val="3D2560BE"/>
    <w:rsid w:val="3D5F70CE"/>
    <w:rsid w:val="3D814F8F"/>
    <w:rsid w:val="3DFC5A41"/>
    <w:rsid w:val="3E060330"/>
    <w:rsid w:val="3E206BAE"/>
    <w:rsid w:val="3E240F83"/>
    <w:rsid w:val="3E2D678E"/>
    <w:rsid w:val="3E335F6C"/>
    <w:rsid w:val="3E363543"/>
    <w:rsid w:val="3E5A73F5"/>
    <w:rsid w:val="3EBB2E89"/>
    <w:rsid w:val="3EBD2EFD"/>
    <w:rsid w:val="3ED234C6"/>
    <w:rsid w:val="3EE10B0A"/>
    <w:rsid w:val="3F037627"/>
    <w:rsid w:val="3F254D04"/>
    <w:rsid w:val="3F6F7831"/>
    <w:rsid w:val="3FBE4A8F"/>
    <w:rsid w:val="3FDD0FD4"/>
    <w:rsid w:val="40093FFF"/>
    <w:rsid w:val="404F2A44"/>
    <w:rsid w:val="4085012A"/>
    <w:rsid w:val="40CE75B7"/>
    <w:rsid w:val="41264796"/>
    <w:rsid w:val="412F6022"/>
    <w:rsid w:val="414B52F2"/>
    <w:rsid w:val="41632E0F"/>
    <w:rsid w:val="41721401"/>
    <w:rsid w:val="419A3649"/>
    <w:rsid w:val="420C0383"/>
    <w:rsid w:val="421E39DE"/>
    <w:rsid w:val="422C1088"/>
    <w:rsid w:val="42416FEC"/>
    <w:rsid w:val="42912640"/>
    <w:rsid w:val="429B00F0"/>
    <w:rsid w:val="42B80334"/>
    <w:rsid w:val="43671974"/>
    <w:rsid w:val="43BF487F"/>
    <w:rsid w:val="43F12901"/>
    <w:rsid w:val="440E073A"/>
    <w:rsid w:val="441E0867"/>
    <w:rsid w:val="44317713"/>
    <w:rsid w:val="44427113"/>
    <w:rsid w:val="44A735ED"/>
    <w:rsid w:val="44C878DF"/>
    <w:rsid w:val="44D452B4"/>
    <w:rsid w:val="44DF4FDA"/>
    <w:rsid w:val="45D31532"/>
    <w:rsid w:val="462F4507"/>
    <w:rsid w:val="46491A3D"/>
    <w:rsid w:val="465E26CD"/>
    <w:rsid w:val="468A334A"/>
    <w:rsid w:val="46926F78"/>
    <w:rsid w:val="469411E8"/>
    <w:rsid w:val="46996AFD"/>
    <w:rsid w:val="472F391B"/>
    <w:rsid w:val="4746617F"/>
    <w:rsid w:val="47525EA8"/>
    <w:rsid w:val="47557A0E"/>
    <w:rsid w:val="47665A62"/>
    <w:rsid w:val="47AF7F0C"/>
    <w:rsid w:val="47F6644C"/>
    <w:rsid w:val="482722C1"/>
    <w:rsid w:val="48691C03"/>
    <w:rsid w:val="48A30F50"/>
    <w:rsid w:val="48CD2C1D"/>
    <w:rsid w:val="48E41442"/>
    <w:rsid w:val="48E57106"/>
    <w:rsid w:val="48EE38EB"/>
    <w:rsid w:val="493E28E4"/>
    <w:rsid w:val="49400053"/>
    <w:rsid w:val="49860B77"/>
    <w:rsid w:val="49AC22D5"/>
    <w:rsid w:val="49F07F37"/>
    <w:rsid w:val="4A120FE1"/>
    <w:rsid w:val="4A2C4ED1"/>
    <w:rsid w:val="4A422BB4"/>
    <w:rsid w:val="4A9D0981"/>
    <w:rsid w:val="4AC75D5E"/>
    <w:rsid w:val="4AF27984"/>
    <w:rsid w:val="4AF373AF"/>
    <w:rsid w:val="4B4C6AD9"/>
    <w:rsid w:val="4B4F3218"/>
    <w:rsid w:val="4B580343"/>
    <w:rsid w:val="4B960AD3"/>
    <w:rsid w:val="4BB560D0"/>
    <w:rsid w:val="4BC87169"/>
    <w:rsid w:val="4C407B1D"/>
    <w:rsid w:val="4C600B1A"/>
    <w:rsid w:val="4C787F28"/>
    <w:rsid w:val="4C897206"/>
    <w:rsid w:val="4CAF07ED"/>
    <w:rsid w:val="4CC74743"/>
    <w:rsid w:val="4D446AB0"/>
    <w:rsid w:val="4D94632D"/>
    <w:rsid w:val="4DB908E0"/>
    <w:rsid w:val="4DFC5EC7"/>
    <w:rsid w:val="4E1757A7"/>
    <w:rsid w:val="4E1F366B"/>
    <w:rsid w:val="4E37077B"/>
    <w:rsid w:val="4E441AD1"/>
    <w:rsid w:val="4E5E38AC"/>
    <w:rsid w:val="4E5E7CB1"/>
    <w:rsid w:val="4E696D88"/>
    <w:rsid w:val="4E96120B"/>
    <w:rsid w:val="4E9F3A7E"/>
    <w:rsid w:val="4EA418D7"/>
    <w:rsid w:val="4EB23DF4"/>
    <w:rsid w:val="4EDB10B2"/>
    <w:rsid w:val="4EDF0658"/>
    <w:rsid w:val="4F083DDD"/>
    <w:rsid w:val="4F3C14DF"/>
    <w:rsid w:val="4F900F58"/>
    <w:rsid w:val="50062B08"/>
    <w:rsid w:val="500E49D5"/>
    <w:rsid w:val="502E27B1"/>
    <w:rsid w:val="50367D95"/>
    <w:rsid w:val="50744F9F"/>
    <w:rsid w:val="50975EFF"/>
    <w:rsid w:val="50C17A82"/>
    <w:rsid w:val="50F00188"/>
    <w:rsid w:val="50F03938"/>
    <w:rsid w:val="50F86A30"/>
    <w:rsid w:val="511E6F49"/>
    <w:rsid w:val="511F22D1"/>
    <w:rsid w:val="51207925"/>
    <w:rsid w:val="5128779C"/>
    <w:rsid w:val="51470759"/>
    <w:rsid w:val="51603484"/>
    <w:rsid w:val="51705CD5"/>
    <w:rsid w:val="517D0D85"/>
    <w:rsid w:val="518566CD"/>
    <w:rsid w:val="51FA6226"/>
    <w:rsid w:val="520038C1"/>
    <w:rsid w:val="52244276"/>
    <w:rsid w:val="5271353A"/>
    <w:rsid w:val="52756E32"/>
    <w:rsid w:val="52B249E1"/>
    <w:rsid w:val="52F44507"/>
    <w:rsid w:val="53397575"/>
    <w:rsid w:val="533B68D4"/>
    <w:rsid w:val="536D40F6"/>
    <w:rsid w:val="53A62B5F"/>
    <w:rsid w:val="53A97A53"/>
    <w:rsid w:val="53C749F1"/>
    <w:rsid w:val="53CF76BD"/>
    <w:rsid w:val="53E64A5C"/>
    <w:rsid w:val="53F520EF"/>
    <w:rsid w:val="53F9098C"/>
    <w:rsid w:val="53FA26A5"/>
    <w:rsid w:val="53FC0CC1"/>
    <w:rsid w:val="5448720F"/>
    <w:rsid w:val="5466792E"/>
    <w:rsid w:val="54946966"/>
    <w:rsid w:val="54C75B22"/>
    <w:rsid w:val="54E22AC6"/>
    <w:rsid w:val="54F80E24"/>
    <w:rsid w:val="55221270"/>
    <w:rsid w:val="556254E5"/>
    <w:rsid w:val="556F07D3"/>
    <w:rsid w:val="558B5037"/>
    <w:rsid w:val="559E7102"/>
    <w:rsid w:val="55B56202"/>
    <w:rsid w:val="55C825EE"/>
    <w:rsid w:val="55F173C8"/>
    <w:rsid w:val="563848C2"/>
    <w:rsid w:val="56422A50"/>
    <w:rsid w:val="567C6656"/>
    <w:rsid w:val="56910AD7"/>
    <w:rsid w:val="56AE1574"/>
    <w:rsid w:val="56C841A7"/>
    <w:rsid w:val="56C91E46"/>
    <w:rsid w:val="57396587"/>
    <w:rsid w:val="574C469B"/>
    <w:rsid w:val="57527777"/>
    <w:rsid w:val="575B70EA"/>
    <w:rsid w:val="577B3BA6"/>
    <w:rsid w:val="578D4DAC"/>
    <w:rsid w:val="57B476B2"/>
    <w:rsid w:val="57CE4606"/>
    <w:rsid w:val="57F24C5E"/>
    <w:rsid w:val="5807630B"/>
    <w:rsid w:val="586E26DB"/>
    <w:rsid w:val="58870761"/>
    <w:rsid w:val="588843BD"/>
    <w:rsid w:val="58A73427"/>
    <w:rsid w:val="58F91E12"/>
    <w:rsid w:val="59276FB0"/>
    <w:rsid w:val="593C4DF0"/>
    <w:rsid w:val="59AB3818"/>
    <w:rsid w:val="59F61008"/>
    <w:rsid w:val="5A594CC3"/>
    <w:rsid w:val="5A86639E"/>
    <w:rsid w:val="5AEC0A29"/>
    <w:rsid w:val="5AFC166A"/>
    <w:rsid w:val="5B3B708E"/>
    <w:rsid w:val="5B531523"/>
    <w:rsid w:val="5BAD535B"/>
    <w:rsid w:val="5BE8365F"/>
    <w:rsid w:val="5BE83CB8"/>
    <w:rsid w:val="5BF55F2B"/>
    <w:rsid w:val="5BFC0629"/>
    <w:rsid w:val="5C194070"/>
    <w:rsid w:val="5C2234C1"/>
    <w:rsid w:val="5C351D36"/>
    <w:rsid w:val="5CA950B8"/>
    <w:rsid w:val="5CC34927"/>
    <w:rsid w:val="5CCC40A8"/>
    <w:rsid w:val="5D125A2C"/>
    <w:rsid w:val="5D31040C"/>
    <w:rsid w:val="5D647D31"/>
    <w:rsid w:val="5D743D7A"/>
    <w:rsid w:val="5DA63281"/>
    <w:rsid w:val="5DC846DB"/>
    <w:rsid w:val="5DEF1492"/>
    <w:rsid w:val="5E9450EA"/>
    <w:rsid w:val="5EA56B79"/>
    <w:rsid w:val="5EB553EF"/>
    <w:rsid w:val="5EE43EBD"/>
    <w:rsid w:val="5F4A0338"/>
    <w:rsid w:val="5F4B6306"/>
    <w:rsid w:val="5F813FB4"/>
    <w:rsid w:val="5FA625F8"/>
    <w:rsid w:val="5FC83D90"/>
    <w:rsid w:val="60157F0E"/>
    <w:rsid w:val="604D4E53"/>
    <w:rsid w:val="606E557C"/>
    <w:rsid w:val="60814092"/>
    <w:rsid w:val="60BC5CB7"/>
    <w:rsid w:val="60F67612"/>
    <w:rsid w:val="60F91023"/>
    <w:rsid w:val="60F96B19"/>
    <w:rsid w:val="61186932"/>
    <w:rsid w:val="616867AE"/>
    <w:rsid w:val="61BA08FF"/>
    <w:rsid w:val="61DE0EAF"/>
    <w:rsid w:val="61EC0BF1"/>
    <w:rsid w:val="620B0D37"/>
    <w:rsid w:val="625271C5"/>
    <w:rsid w:val="629E7570"/>
    <w:rsid w:val="62A819FC"/>
    <w:rsid w:val="62E730E4"/>
    <w:rsid w:val="631179B8"/>
    <w:rsid w:val="631F64C6"/>
    <w:rsid w:val="633B3162"/>
    <w:rsid w:val="637F1910"/>
    <w:rsid w:val="63B5059C"/>
    <w:rsid w:val="63EE589C"/>
    <w:rsid w:val="63FA562B"/>
    <w:rsid w:val="63FC1073"/>
    <w:rsid w:val="63FE2674"/>
    <w:rsid w:val="64173CC0"/>
    <w:rsid w:val="6419593D"/>
    <w:rsid w:val="641F5B3D"/>
    <w:rsid w:val="64DE5FDC"/>
    <w:rsid w:val="652F2992"/>
    <w:rsid w:val="65333588"/>
    <w:rsid w:val="65390BC8"/>
    <w:rsid w:val="657F0B71"/>
    <w:rsid w:val="65B26923"/>
    <w:rsid w:val="65C15B6B"/>
    <w:rsid w:val="65D16CB3"/>
    <w:rsid w:val="66076538"/>
    <w:rsid w:val="66440F86"/>
    <w:rsid w:val="66615C35"/>
    <w:rsid w:val="66AD6467"/>
    <w:rsid w:val="670D2828"/>
    <w:rsid w:val="67173A92"/>
    <w:rsid w:val="6792360B"/>
    <w:rsid w:val="67953EBF"/>
    <w:rsid w:val="67BE2A1F"/>
    <w:rsid w:val="68103D21"/>
    <w:rsid w:val="681558F8"/>
    <w:rsid w:val="682409B3"/>
    <w:rsid w:val="689064B8"/>
    <w:rsid w:val="68BA61E2"/>
    <w:rsid w:val="68CE2A83"/>
    <w:rsid w:val="68FF1FDD"/>
    <w:rsid w:val="69822D0A"/>
    <w:rsid w:val="698719E7"/>
    <w:rsid w:val="699F3FEA"/>
    <w:rsid w:val="69A7127F"/>
    <w:rsid w:val="69C04ABB"/>
    <w:rsid w:val="69DF40EB"/>
    <w:rsid w:val="6A1914BA"/>
    <w:rsid w:val="6A2F5934"/>
    <w:rsid w:val="6A3E788F"/>
    <w:rsid w:val="6A7D6AC8"/>
    <w:rsid w:val="6A935322"/>
    <w:rsid w:val="6AB340D9"/>
    <w:rsid w:val="6AB76254"/>
    <w:rsid w:val="6ACE4D37"/>
    <w:rsid w:val="6AE742D3"/>
    <w:rsid w:val="6AEE755B"/>
    <w:rsid w:val="6B3B3857"/>
    <w:rsid w:val="6B647647"/>
    <w:rsid w:val="6B736C43"/>
    <w:rsid w:val="6B874C39"/>
    <w:rsid w:val="6B9C4A79"/>
    <w:rsid w:val="6BAD1EC4"/>
    <w:rsid w:val="6BD87059"/>
    <w:rsid w:val="6BEC6347"/>
    <w:rsid w:val="6C1B0549"/>
    <w:rsid w:val="6CD47433"/>
    <w:rsid w:val="6CD535DE"/>
    <w:rsid w:val="6CD55628"/>
    <w:rsid w:val="6CED7E6B"/>
    <w:rsid w:val="6D4B40C0"/>
    <w:rsid w:val="6D690C16"/>
    <w:rsid w:val="6DB31C90"/>
    <w:rsid w:val="6DB874DF"/>
    <w:rsid w:val="6DBA4F57"/>
    <w:rsid w:val="6DD022CE"/>
    <w:rsid w:val="6DE22D7D"/>
    <w:rsid w:val="6E2211E5"/>
    <w:rsid w:val="6E3C0450"/>
    <w:rsid w:val="6E550BFA"/>
    <w:rsid w:val="6EED18CD"/>
    <w:rsid w:val="6F30329C"/>
    <w:rsid w:val="6F3908D4"/>
    <w:rsid w:val="6F4C61C4"/>
    <w:rsid w:val="6F827549"/>
    <w:rsid w:val="6FAE3061"/>
    <w:rsid w:val="6FC547BC"/>
    <w:rsid w:val="6FE96556"/>
    <w:rsid w:val="70222423"/>
    <w:rsid w:val="70C87A37"/>
    <w:rsid w:val="70E978BC"/>
    <w:rsid w:val="71084330"/>
    <w:rsid w:val="71211556"/>
    <w:rsid w:val="7138590C"/>
    <w:rsid w:val="71B5615E"/>
    <w:rsid w:val="71C27DBB"/>
    <w:rsid w:val="72001ED7"/>
    <w:rsid w:val="723A65F1"/>
    <w:rsid w:val="726B2612"/>
    <w:rsid w:val="72950866"/>
    <w:rsid w:val="729C4E38"/>
    <w:rsid w:val="72B314F6"/>
    <w:rsid w:val="72D967C4"/>
    <w:rsid w:val="72EF20EB"/>
    <w:rsid w:val="72F329D6"/>
    <w:rsid w:val="73255C15"/>
    <w:rsid w:val="73366F32"/>
    <w:rsid w:val="735F150C"/>
    <w:rsid w:val="73654216"/>
    <w:rsid w:val="737C15E7"/>
    <w:rsid w:val="738F5A50"/>
    <w:rsid w:val="7396760B"/>
    <w:rsid w:val="73A56C56"/>
    <w:rsid w:val="73D33EF5"/>
    <w:rsid w:val="740C4E59"/>
    <w:rsid w:val="744335D7"/>
    <w:rsid w:val="74905FB3"/>
    <w:rsid w:val="74966354"/>
    <w:rsid w:val="74FC3AC4"/>
    <w:rsid w:val="75100D14"/>
    <w:rsid w:val="751B0501"/>
    <w:rsid w:val="75496D27"/>
    <w:rsid w:val="755D7996"/>
    <w:rsid w:val="75626B88"/>
    <w:rsid w:val="75784475"/>
    <w:rsid w:val="75B708C9"/>
    <w:rsid w:val="75C444B4"/>
    <w:rsid w:val="76294902"/>
    <w:rsid w:val="763900A2"/>
    <w:rsid w:val="76496D2D"/>
    <w:rsid w:val="767E6C03"/>
    <w:rsid w:val="76BD2E4B"/>
    <w:rsid w:val="76D432EF"/>
    <w:rsid w:val="76DA7DDF"/>
    <w:rsid w:val="76DF50E1"/>
    <w:rsid w:val="76F30378"/>
    <w:rsid w:val="77083349"/>
    <w:rsid w:val="77105C29"/>
    <w:rsid w:val="77496E1D"/>
    <w:rsid w:val="77506E06"/>
    <w:rsid w:val="77667C2A"/>
    <w:rsid w:val="777F2619"/>
    <w:rsid w:val="78157C93"/>
    <w:rsid w:val="783D21CE"/>
    <w:rsid w:val="78453EA9"/>
    <w:rsid w:val="78592431"/>
    <w:rsid w:val="786D6001"/>
    <w:rsid w:val="7871757F"/>
    <w:rsid w:val="788A7574"/>
    <w:rsid w:val="789B3E94"/>
    <w:rsid w:val="78C66C81"/>
    <w:rsid w:val="79062C4E"/>
    <w:rsid w:val="79354590"/>
    <w:rsid w:val="794569C4"/>
    <w:rsid w:val="796E6DB7"/>
    <w:rsid w:val="79BC5292"/>
    <w:rsid w:val="79C64480"/>
    <w:rsid w:val="7A200C52"/>
    <w:rsid w:val="7AEC244A"/>
    <w:rsid w:val="7B050586"/>
    <w:rsid w:val="7B2E33E6"/>
    <w:rsid w:val="7B54390E"/>
    <w:rsid w:val="7B657BE8"/>
    <w:rsid w:val="7B712962"/>
    <w:rsid w:val="7B8F5234"/>
    <w:rsid w:val="7BBE7A66"/>
    <w:rsid w:val="7BD46C55"/>
    <w:rsid w:val="7C020026"/>
    <w:rsid w:val="7C254D3D"/>
    <w:rsid w:val="7C820F71"/>
    <w:rsid w:val="7C992D9E"/>
    <w:rsid w:val="7CBF00CC"/>
    <w:rsid w:val="7CDD416F"/>
    <w:rsid w:val="7D8632AD"/>
    <w:rsid w:val="7D9248DC"/>
    <w:rsid w:val="7DEF6C44"/>
    <w:rsid w:val="7E0B682D"/>
    <w:rsid w:val="7E183858"/>
    <w:rsid w:val="7F1358A2"/>
    <w:rsid w:val="7F1A63C2"/>
    <w:rsid w:val="7F7C386B"/>
    <w:rsid w:val="7FEC4A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3"/>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4"/>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6"/>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0"/>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uiPriority w:val="99"/>
    <w:pPr>
      <w:snapToGrid w:val="0"/>
      <w:jc w:val="left"/>
    </w:pPr>
    <w:rPr>
      <w:sz w:val="18"/>
      <w:szCs w:val="18"/>
    </w:rPr>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uiPriority w:val="99"/>
    <w:rPr>
      <w:sz w:val="21"/>
      <w:szCs w:val="21"/>
    </w:rPr>
  </w:style>
  <w:style w:type="character" w:styleId="21">
    <w:name w:val="footnote reference"/>
    <w:unhideWhenUsed/>
    <w:uiPriority w:val="99"/>
    <w:rPr>
      <w:vertAlign w:val="superscript"/>
    </w:rPr>
  </w:style>
  <w:style w:type="character" w:customStyle="1" w:styleId="22">
    <w:name w:val="正文文本 字符"/>
    <w:link w:val="2"/>
    <w:uiPriority w:val="1"/>
    <w:rPr>
      <w:rFonts w:ascii="宋体" w:hAnsi="Times New Roman" w:eastAsia="宋体" w:cs="宋体"/>
      <w:kern w:val="0"/>
      <w:szCs w:val="21"/>
    </w:rPr>
  </w:style>
  <w:style w:type="character" w:customStyle="1" w:styleId="23">
    <w:name w:val="标题 1 字符"/>
    <w:link w:val="3"/>
    <w:uiPriority w:val="1"/>
    <w:rPr>
      <w:rFonts w:ascii="黑体" w:hAnsi="Times New Roman" w:eastAsia="黑体" w:cs="黑体"/>
      <w:b/>
      <w:bCs/>
      <w:kern w:val="0"/>
      <w:sz w:val="36"/>
      <w:szCs w:val="36"/>
    </w:rPr>
  </w:style>
  <w:style w:type="character" w:customStyle="1" w:styleId="24">
    <w:name w:val="标题 2 字符"/>
    <w:link w:val="4"/>
    <w:uiPriority w:val="9"/>
    <w:rPr>
      <w:rFonts w:ascii="Cambria" w:hAnsi="Cambria" w:eastAsia="宋体" w:cs="Times New Roman"/>
      <w:b/>
      <w:bCs/>
      <w:sz w:val="32"/>
      <w:szCs w:val="32"/>
    </w:rPr>
  </w:style>
  <w:style w:type="character" w:customStyle="1" w:styleId="25">
    <w:name w:val="标题 3 字符"/>
    <w:link w:val="5"/>
    <w:qFormat/>
    <w:uiPriority w:val="1"/>
    <w:rPr>
      <w:rFonts w:ascii="宋体" w:hAnsi="Times New Roman" w:eastAsia="宋体" w:cs="宋体"/>
      <w:b/>
      <w:bCs/>
      <w:kern w:val="0"/>
      <w:szCs w:val="21"/>
    </w:rPr>
  </w:style>
  <w:style w:type="character" w:customStyle="1" w:styleId="26">
    <w:name w:val="批注文字 字符"/>
    <w:link w:val="6"/>
    <w:qFormat/>
    <w:uiPriority w:val="99"/>
    <w:rPr>
      <w:kern w:val="2"/>
      <w:sz w:val="21"/>
      <w:szCs w:val="22"/>
    </w:rPr>
  </w:style>
  <w:style w:type="character" w:customStyle="1" w:styleId="27">
    <w:name w:val="日期 字符"/>
    <w:basedOn w:val="17"/>
    <w:link w:val="7"/>
    <w:semiHidden/>
    <w:qFormat/>
    <w:uiPriority w:val="99"/>
  </w:style>
  <w:style w:type="character" w:customStyle="1" w:styleId="28">
    <w:name w:val="批注框文本 字符"/>
    <w:link w:val="8"/>
    <w:semiHidden/>
    <w:qFormat/>
    <w:uiPriority w:val="99"/>
    <w:rPr>
      <w:sz w:val="18"/>
      <w:szCs w:val="18"/>
    </w:rPr>
  </w:style>
  <w:style w:type="character" w:customStyle="1" w:styleId="29">
    <w:name w:val="页脚 字符"/>
    <w:link w:val="9"/>
    <w:qFormat/>
    <w:uiPriority w:val="99"/>
    <w:rPr>
      <w:sz w:val="18"/>
      <w:szCs w:val="18"/>
    </w:rPr>
  </w:style>
  <w:style w:type="character" w:customStyle="1" w:styleId="30">
    <w:name w:val="页眉 字符"/>
    <w:link w:val="10"/>
    <w:qFormat/>
    <w:uiPriority w:val="99"/>
    <w:rPr>
      <w:sz w:val="18"/>
      <w:szCs w:val="18"/>
    </w:rPr>
  </w:style>
  <w:style w:type="character" w:customStyle="1" w:styleId="31">
    <w:name w:val="脚注文本 字符1"/>
    <w:link w:val="11"/>
    <w:semiHidden/>
    <w:qFormat/>
    <w:uiPriority w:val="99"/>
    <w:rPr>
      <w:kern w:val="2"/>
      <w:sz w:val="18"/>
      <w:szCs w:val="18"/>
    </w:rPr>
  </w:style>
  <w:style w:type="character" w:customStyle="1" w:styleId="32">
    <w:name w:val="批注主题 字符"/>
    <w:link w:val="14"/>
    <w:semiHidden/>
    <w:qFormat/>
    <w:uiPriority w:val="99"/>
    <w:rPr>
      <w:b/>
      <w:bCs/>
      <w:kern w:val="2"/>
      <w:sz w:val="21"/>
      <w:szCs w:val="22"/>
    </w:rPr>
  </w:style>
  <w:style w:type="character" w:customStyle="1" w:styleId="33">
    <w:name w:val="脚注文本 字符"/>
    <w:semiHidden/>
    <w:qFormat/>
    <w:uiPriority w:val="99"/>
    <w:rPr>
      <w:kern w:val="2"/>
      <w:sz w:val="18"/>
      <w:szCs w:val="18"/>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5">
    <w:name w:val="List Paragraph"/>
    <w:basedOn w:val="1"/>
    <w:qFormat/>
    <w:uiPriority w:val="72"/>
    <w:pPr>
      <w:ind w:firstLine="420" w:firstLineChars="200"/>
    </w:pPr>
  </w:style>
  <w:style w:type="paragraph" w:customStyle="1" w:styleId="36">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23549</Words>
  <Characters>24535</Characters>
  <Lines>154</Lines>
  <Paragraphs>43</Paragraphs>
  <TotalTime>2</TotalTime>
  <ScaleCrop>false</ScaleCrop>
  <LinksUpToDate>false</LinksUpToDate>
  <CharactersWithSpaces>24549</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2025-07-14T06:06:36Z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790D4B1628B54664BB2D2BCEB7BD22DC</vt:lpwstr>
  </property>
</Properties>
</file>