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94280"/>
                <wp:effectExtent l="4445" t="4445" r="7620" b="15875"/>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49428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spacing w:val="-2"/>
                                <w:szCs w:val="21"/>
                                <w:highlight w:val="none"/>
                                <w:u w:val="single"/>
                              </w:rPr>
                            </w:pPr>
                            <w:r>
                              <w:rPr>
                                <w:rFonts w:hint="eastAsia" w:ascii="楷体" w:hAnsi="楷体" w:eastAsia="楷体"/>
                              </w:rPr>
                              <w:t>以上为本产品的特别提示，详细内容请仔细阅读理财产品合同。</w:t>
                            </w:r>
                          </w:p>
                          <w:p>
                            <w:pPr>
                              <w:jc w:val="left"/>
                              <w:rPr>
                                <w:rFonts w:hint="eastAsia" w:ascii="楷体" w:hAnsi="楷体" w:eastAsia="楷体"/>
                              </w:rPr>
                            </w:pPr>
                          </w:p>
                        </w:txbxContent>
                      </wps:txbx>
                      <wps:bodyPr wrap="square" upright="1"/>
                    </wps:wsp>
                  </a:graphicData>
                </a:graphic>
              </wp:anchor>
            </w:drawing>
          </mc:Choice>
          <mc:Fallback>
            <w:pict>
              <v:shape id="文本框 3" o:spid="_x0000_s1026" o:spt="202" type="#_x0000_t202" style="position:absolute;left:0pt;margin-left:-26.35pt;margin-top:4.85pt;height:196.4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U10vHYAAAACQEAAA8AAAAAAAAA&#10;AQAgAAAAIgAAAGRycy9kb3ducmV2LnhtbFBLAQIUABQAAAAIAIdO4kCGC60mEQIAABwEAAAOAAAA&#10;AAAAAAEAIAAAACcBAABkcnMvZTJvRG9jLnhtbFBLBQYAAAAABgAGAFkBAACq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spacing w:val="-2"/>
                          <w:szCs w:val="21"/>
                          <w:highlight w:val="none"/>
                          <w:u w:val="single"/>
                        </w:rPr>
                      </w:pPr>
                      <w:r>
                        <w:rPr>
                          <w:rFonts w:hint="eastAsia" w:ascii="楷体" w:hAnsi="楷体" w:eastAsia="楷体"/>
                        </w:rPr>
                        <w:t>以上为本产品的特别提示，详细内容请仔细阅读理财产品合同。</w:t>
                      </w:r>
                    </w:p>
                    <w:p>
                      <w:pPr>
                        <w:jc w:val="left"/>
                        <w:rPr>
                          <w:rFonts w:hint="eastAsia" w:ascii="楷体" w:hAnsi="楷体" w:eastAsia="楷体"/>
                        </w:rPr>
                      </w:pP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恒源季开放12号</w:t>
      </w:r>
      <w:r>
        <w:rPr>
          <w:rFonts w:hint="eastAsia" w:ascii="楷体" w:hAnsi="楷体" w:eastAsia="楷体"/>
          <w:b/>
          <w:sz w:val="36"/>
          <w:szCs w:val="36"/>
        </w:rPr>
        <w:t>”理财产品合同</w:t>
      </w:r>
    </w:p>
    <w:p>
      <w:pPr>
        <w:pStyle w:val="12"/>
        <w:spacing w:before="0" w:beforeAutospacing="0" w:after="0" w:afterAutospacing="0" w:line="360" w:lineRule="auto"/>
        <w:jc w:val="center"/>
        <w:outlineLvl w:val="0"/>
        <w:rPr>
          <w:rFonts w:hint="eastAsia"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7</w:t>
      </w:r>
      <w:r>
        <w:rPr>
          <w:rFonts w:hint="eastAsia" w:ascii="楷体" w:hAnsi="楷体" w:eastAsia="楷体"/>
          <w:b/>
        </w:rPr>
        <w:t>月版）</w:t>
      </w:r>
      <w:r>
        <w:rPr>
          <w:rFonts w:hint="eastAsia" w:ascii="楷体" w:hAnsi="楷体" w:eastAsia="楷体"/>
          <w:b/>
          <w:lang w:val="en-US" w:eastAsia="zh-CN"/>
        </w:rPr>
        <w:t xml:space="preserve"> </w:t>
      </w:r>
    </w:p>
    <w:tbl>
      <w:tblPr>
        <w:tblStyle w:val="14"/>
        <w:tblW w:w="893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恒源季开放12号</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恒源季开放12号</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spacing w:before="156" w:beforeLines="50" w:beforeAutospacing="0" w:after="0" w:afterAutospacing="0"/>
        <w:ind w:firstLine="480" w:firstLineChars="200"/>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156" w:beforeLines="50" w:beforeAutospacing="0" w:after="0" w:afterAutospacing="0"/>
        <w:ind w:firstLine="480" w:firstLineChars="200"/>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sz w:val="24"/>
          <w:szCs w:val="24"/>
        </w:rPr>
        <w:br w:type="page"/>
      </w:r>
      <w:r>
        <w:rPr>
          <w:rFonts w:hint="eastAsia" w:ascii="楷体" w:hAnsi="楷体" w:eastAsia="楷体"/>
          <w:b/>
          <w:sz w:val="36"/>
          <w:szCs w:val="36"/>
        </w:rPr>
        <w:t>“苏银理财</w:t>
      </w:r>
      <w:r>
        <w:rPr>
          <w:rFonts w:hint="eastAsia" w:ascii="楷体" w:hAnsi="楷体" w:eastAsia="楷体"/>
          <w:b/>
          <w:sz w:val="36"/>
          <w:szCs w:val="36"/>
          <w:lang w:eastAsia="zh-CN"/>
        </w:rPr>
        <w:t>恒源季开放12号</w:t>
      </w:r>
      <w:r>
        <w:rPr>
          <w:rFonts w:hint="eastAsia" w:ascii="楷体" w:hAnsi="楷体" w:eastAsia="楷体"/>
          <w:b/>
          <w:sz w:val="36"/>
          <w:szCs w:val="36"/>
        </w:rPr>
        <w:t>”理财产品说明书</w:t>
      </w:r>
    </w:p>
    <w:p>
      <w:pPr>
        <w:jc w:val="center"/>
        <w:outlineLvl w:val="0"/>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outlineLvl w:val="0"/>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w:t>
      </w:r>
      <w:r>
        <w:rPr>
          <w:rFonts w:hint="eastAsia" w:ascii="楷体" w:hAnsi="楷体" w:eastAsia="楷体"/>
          <w:b/>
          <w:sz w:val="24"/>
          <w:szCs w:val="24"/>
          <w:u w:val="single"/>
          <w:lang w:val="en-US" w:eastAsia="zh-CN"/>
        </w:rPr>
        <w:t>或者交易违约等事项</w:t>
      </w:r>
      <w:r>
        <w:rPr>
          <w:rFonts w:hint="eastAsia" w:ascii="楷体" w:hAnsi="楷体" w:eastAsia="楷体"/>
          <w:b/>
          <w:sz w:val="24"/>
          <w:szCs w:val="24"/>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w:t>
      </w:r>
      <w:r>
        <w:rPr>
          <w:rFonts w:hint="eastAsia" w:ascii="楷体" w:hAnsi="楷体" w:eastAsia="楷体"/>
          <w:b/>
          <w:sz w:val="24"/>
          <w:szCs w:val="24"/>
          <w:u w:val="single"/>
          <w:lang w:val="en-US" w:eastAsia="zh-CN"/>
        </w:rPr>
        <w:t>为管理人</w:t>
      </w:r>
      <w:r>
        <w:rPr>
          <w:rFonts w:hint="eastAsia" w:ascii="楷体" w:hAnsi="楷体" w:eastAsia="楷体"/>
          <w:b/>
          <w:sz w:val="24"/>
          <w:szCs w:val="24"/>
          <w:u w:val="single"/>
        </w:rPr>
        <w:t>对本产品所设定的投资目标</w:t>
      </w:r>
      <w:r>
        <w:rPr>
          <w:rFonts w:hint="eastAsia" w:ascii="楷体" w:hAnsi="楷体" w:eastAsia="楷体"/>
          <w:b/>
          <w:sz w:val="24"/>
          <w:szCs w:val="24"/>
          <w:u w:val="single"/>
          <w:lang w:eastAsia="zh-CN"/>
        </w:rPr>
        <w:t>，</w:t>
      </w:r>
      <w:r>
        <w:rPr>
          <w:rFonts w:hint="eastAsia" w:ascii="楷体" w:hAnsi="楷体" w:eastAsia="楷体"/>
          <w:b/>
          <w:sz w:val="24"/>
          <w:szCs w:val="24"/>
          <w:u w:val="single"/>
        </w:rPr>
        <w:t>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恒源季开放12号</w:t>
      </w:r>
      <w:r>
        <w:rPr>
          <w:rFonts w:hint="eastAsia" w:ascii="楷体" w:hAnsi="楷体" w:eastAsia="楷体"/>
          <w:sz w:val="24"/>
          <w:szCs w:val="24"/>
        </w:rPr>
        <w:t>”理财产品风险揭示书》的“风险揭示”部分。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bCs/>
          <w:sz w:val="24"/>
          <w:szCs w:val="24"/>
          <w:u w:val="single"/>
        </w:rPr>
        <w:t>。</w:t>
      </w:r>
    </w:p>
    <w:p>
      <w:pPr>
        <w:numPr>
          <w:ilvl w:val="0"/>
          <w:numId w:val="2"/>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1"/>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45"/>
              <w:kinsoku w:val="0"/>
              <w:overflowPunct w:val="0"/>
              <w:spacing w:before="13"/>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恒源季开放12号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0"/>
              <w:ind w:left="55"/>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45"/>
              <w:kinsoku w:val="0"/>
              <w:overflowPunct w:val="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Z7003123000160</w:t>
            </w:r>
          </w:p>
          <w:p>
            <w:pPr>
              <w:pStyle w:val="45"/>
              <w:kinsoku w:val="0"/>
              <w:overflowPunct w:val="0"/>
              <w:ind w:left="59" w:leftChars="0"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45"/>
              <w:kinsoku w:val="0"/>
              <w:overflowPunct w:val="0"/>
              <w:spacing w:before="12"/>
              <w:ind w:left="59" w:right="73" w:rightChars="35"/>
              <w:jc w:val="both"/>
              <w:rPr>
                <w:rFonts w:hint="default" w:ascii="楷体" w:hAnsi="楷体" w:eastAsia="楷体" w:cs="宋体"/>
                <w:spacing w:val="-2"/>
                <w:sz w:val="21"/>
                <w:szCs w:val="21"/>
                <w:lang w:val="en-US"/>
              </w:rPr>
            </w:pPr>
            <w:r>
              <w:rPr>
                <w:rFonts w:hint="eastAsia" w:ascii="楷体" w:hAnsi="楷体" w:eastAsia="楷体" w:cs="宋体"/>
                <w:spacing w:val="-2"/>
                <w:sz w:val="21"/>
                <w:szCs w:val="21"/>
              </w:rPr>
              <w:t>A份额：苏银理财恒源</w:t>
            </w:r>
            <w:r>
              <w:rPr>
                <w:rFonts w:hint="eastAsia" w:ascii="楷体" w:hAnsi="楷体" w:eastAsia="楷体" w:cs="宋体"/>
                <w:spacing w:val="-2"/>
                <w:sz w:val="21"/>
                <w:szCs w:val="21"/>
                <w:lang w:eastAsia="zh-CN"/>
              </w:rPr>
              <w:t>季开放12号</w:t>
            </w:r>
            <w:r>
              <w:rPr>
                <w:rFonts w:hint="eastAsia" w:ascii="楷体" w:hAnsi="楷体" w:eastAsia="楷体" w:cs="宋体"/>
                <w:spacing w:val="-2"/>
                <w:sz w:val="21"/>
                <w:szCs w:val="21"/>
              </w:rPr>
              <w:t>A/J02866</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C份额：苏银理财恒源</w:t>
            </w:r>
            <w:r>
              <w:rPr>
                <w:rFonts w:hint="eastAsia" w:ascii="楷体" w:hAnsi="楷体" w:eastAsia="楷体" w:cs="宋体"/>
                <w:spacing w:val="-2"/>
                <w:sz w:val="21"/>
                <w:szCs w:val="21"/>
                <w:lang w:eastAsia="zh-CN"/>
              </w:rPr>
              <w:t>季开放12号</w:t>
            </w:r>
            <w:r>
              <w:rPr>
                <w:rFonts w:ascii="楷体" w:hAnsi="楷体" w:eastAsia="楷体" w:cs="宋体"/>
                <w:spacing w:val="-2"/>
                <w:sz w:val="21"/>
                <w:szCs w:val="21"/>
              </w:rPr>
              <w:t>C</w:t>
            </w:r>
            <w:r>
              <w:rPr>
                <w:rFonts w:hint="eastAsia" w:ascii="楷体" w:hAnsi="楷体" w:eastAsia="楷体" w:cs="宋体"/>
                <w:spacing w:val="-2"/>
                <w:sz w:val="21"/>
                <w:szCs w:val="21"/>
              </w:rPr>
              <w:t>/J02867</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D份额：苏银理财恒源</w:t>
            </w:r>
            <w:r>
              <w:rPr>
                <w:rFonts w:hint="eastAsia" w:ascii="楷体" w:hAnsi="楷体" w:eastAsia="楷体" w:cs="宋体"/>
                <w:spacing w:val="-2"/>
                <w:sz w:val="21"/>
                <w:szCs w:val="21"/>
                <w:lang w:eastAsia="zh-CN"/>
              </w:rPr>
              <w:t>季开放12号</w:t>
            </w:r>
            <w:r>
              <w:rPr>
                <w:rFonts w:ascii="楷体" w:hAnsi="楷体" w:eastAsia="楷体" w:cs="宋体"/>
                <w:spacing w:val="-2"/>
                <w:sz w:val="21"/>
                <w:szCs w:val="21"/>
              </w:rPr>
              <w:t>D</w:t>
            </w:r>
            <w:r>
              <w:rPr>
                <w:rFonts w:hint="eastAsia" w:ascii="楷体" w:hAnsi="楷体" w:eastAsia="楷体" w:cs="宋体"/>
                <w:spacing w:val="-2"/>
                <w:sz w:val="21"/>
                <w:szCs w:val="21"/>
              </w:rPr>
              <w:t>/J02868</w:t>
            </w:r>
          </w:p>
          <w:p>
            <w:pPr>
              <w:pStyle w:val="45"/>
              <w:kinsoku w:val="0"/>
              <w:overflowPunct w:val="0"/>
              <w:spacing w:before="12"/>
              <w:ind w:left="59" w:leftChars="0"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季开放12号</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/J02870</w:t>
            </w:r>
          </w:p>
          <w:p>
            <w:pPr>
              <w:pStyle w:val="45"/>
              <w:kinsoku w:val="0"/>
              <w:overflowPunct w:val="0"/>
              <w:spacing w:before="12"/>
              <w:ind w:left="59" w:leftChars="0"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季开放12号</w:t>
            </w: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/J02842</w:t>
            </w:r>
          </w:p>
          <w:p>
            <w:pPr>
              <w:pStyle w:val="45"/>
              <w:kinsoku w:val="0"/>
              <w:overflowPunct w:val="0"/>
              <w:spacing w:before="12"/>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H份额：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季开放12号</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/J02871</w:t>
            </w:r>
          </w:p>
          <w:p>
            <w:pPr>
              <w:pStyle w:val="45"/>
              <w:kinsoku w:val="0"/>
              <w:overflowPunct w:val="0"/>
              <w:spacing w:before="12"/>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W份额：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季开放12号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/J03154</w:t>
            </w:r>
          </w:p>
          <w:p>
            <w:pPr>
              <w:pStyle w:val="45"/>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季开放1</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/J036</w:t>
            </w:r>
            <w:r>
              <w:rPr>
                <w:rFonts w:hint="eastAsia" w:ascii="楷体" w:hAnsi="楷体" w:eastAsia="楷体" w:cs="宋体"/>
                <w:spacing w:val="-2"/>
                <w:sz w:val="21"/>
                <w:szCs w:val="21"/>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江苏银行股份有限公司，详见下文“十四、产品托管人”。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45"/>
              <w:kinsoku w:val="0"/>
              <w:overflowPunct w:val="0"/>
              <w:spacing w:before="13"/>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insoku w:val="0"/>
              <w:overflowPunct w:val="0"/>
              <w:autoSpaceDE w:val="0"/>
              <w:autoSpaceDN w:val="0"/>
              <w:adjustRightInd w:val="0"/>
              <w:spacing w:before="13"/>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kinsoku w:val="0"/>
              <w:overflowPunct w:val="0"/>
              <w:autoSpaceDE w:val="0"/>
              <w:autoSpaceDN w:val="0"/>
              <w:adjustRightInd w:val="0"/>
              <w:spacing w:before="13"/>
              <w:ind w:left="59" w:right="73" w:rightChars="35"/>
              <w:rPr>
                <w:rFonts w:hint="eastAsia" w:ascii="楷体" w:hAnsi="楷体" w:eastAsia="楷体" w:cs="宋体"/>
                <w:spacing w:val="-2"/>
                <w:kern w:val="0"/>
                <w:szCs w:val="21"/>
              </w:rPr>
            </w:pPr>
            <w:r>
              <w:rPr>
                <w:rFonts w:hint="eastAsia" w:ascii="楷体" w:hAnsi="楷体" w:eastAsia="楷体" w:cs="宋体"/>
                <w:b/>
                <w:spacing w:val="-2"/>
                <w:kern w:val="0"/>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kern w:val="0"/>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kern w:val="0"/>
                <w:szCs w:val="21"/>
              </w:rPr>
              <w:t>销售评级与</w:t>
            </w:r>
            <w:r>
              <w:rPr>
                <w:rFonts w:hint="eastAsia" w:ascii="楷体" w:hAnsi="楷体" w:eastAsia="楷体" w:cs="宋体"/>
                <w:spacing w:val="-2"/>
                <w:kern w:val="0"/>
                <w:szCs w:val="21"/>
              </w:rPr>
              <w:t>苏银理财</w:t>
            </w:r>
            <w:r>
              <w:rPr>
                <w:rFonts w:ascii="楷体" w:hAnsi="楷体" w:eastAsia="楷体" w:cs="宋体"/>
                <w:spacing w:val="-2"/>
                <w:kern w:val="0"/>
                <w:szCs w:val="21"/>
              </w:rPr>
              <w:t>产品评级结果不一致的，代理销售机构应当采用对应较高风险等级的评级结果并予以披露</w:t>
            </w:r>
            <w:r>
              <w:rPr>
                <w:rFonts w:hint="eastAsia" w:ascii="楷体" w:hAnsi="楷体" w:eastAsia="楷体" w:cs="宋体"/>
                <w:spacing w:val="-2"/>
                <w:kern w:val="0"/>
                <w:szCs w:val="21"/>
              </w:rPr>
              <w:t>。</w:t>
            </w:r>
          </w:p>
          <w:p>
            <w:pPr>
              <w:pStyle w:val="45"/>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b/>
                <w:spacing w:val="-2"/>
                <w:kern w:val="2"/>
                <w:sz w:val="21"/>
                <w:szCs w:val="21"/>
                <w:u w:val="single"/>
              </w:rPr>
              <w:t>3</w:t>
            </w:r>
            <w:r>
              <w:rPr>
                <w:rFonts w:hint="eastAsia" w:ascii="楷体" w:hAnsi="楷体" w:eastAsia="楷体" w:cs="宋体"/>
                <w:b/>
                <w:spacing w:val="-2"/>
                <w:kern w:val="2"/>
                <w:sz w:val="21"/>
                <w:szCs w:val="21"/>
                <w:highlight w:val="none"/>
                <w:u w:val="single"/>
              </w:rPr>
              <w:t>、</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45"/>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45"/>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A份额面向个人和机构投资者销售。</w:t>
            </w:r>
          </w:p>
          <w:p>
            <w:pPr>
              <w:pStyle w:val="45"/>
              <w:kinsoku w:val="0"/>
              <w:overflowPunct w:val="0"/>
              <w:spacing w:before="12"/>
              <w:ind w:left="59" w:right="88" w:rightChars="42"/>
              <w:jc w:val="both"/>
              <w:rPr>
                <w:rFonts w:hint="eastAsia" w:ascii="楷体" w:hAnsi="楷体" w:eastAsia="楷体" w:cs="宋体"/>
                <w:spacing w:val="-2"/>
                <w:sz w:val="21"/>
                <w:szCs w:val="21"/>
              </w:rPr>
            </w:pPr>
            <w:r>
              <w:rPr>
                <w:rFonts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w:t>
            </w:r>
            <w:r>
              <w:rPr>
                <w:rFonts w:hint="eastAsia" w:ascii="楷体" w:hAnsi="楷体" w:eastAsia="楷体" w:cs="宋体"/>
                <w:spacing w:val="-2"/>
                <w:sz w:val="21"/>
                <w:szCs w:val="21"/>
              </w:rPr>
              <w:t>个人和机构投资者销售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仅限新资金客户及新客户，具体以</w:t>
            </w:r>
            <w:r>
              <w:rPr>
                <w:rFonts w:hint="eastAsia" w:ascii="楷体" w:hAnsi="楷体" w:eastAsia="楷体" w:cs="宋体"/>
                <w:spacing w:val="-2"/>
                <w:sz w:val="21"/>
                <w:szCs w:val="21"/>
              </w:rPr>
              <w:t>销售机构</w:t>
            </w:r>
            <w:r>
              <w:rPr>
                <w:rFonts w:hint="eastAsia" w:ascii="楷体" w:hAnsi="楷体" w:eastAsia="楷体" w:cs="宋体"/>
                <w:spacing w:val="-2"/>
                <w:sz w:val="21"/>
                <w:szCs w:val="21"/>
                <w:highlight w:val="none"/>
              </w:rPr>
              <w:t>系统设置为准</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机构投资者具体以销售机构设置为准</w:t>
            </w:r>
            <w:r>
              <w:rPr>
                <w:rFonts w:hint="eastAsia" w:ascii="楷体" w:hAnsi="楷体" w:eastAsia="楷体" w:cs="宋体"/>
                <w:spacing w:val="-2"/>
                <w:sz w:val="21"/>
                <w:szCs w:val="21"/>
                <w:highlight w:val="none"/>
              </w:rPr>
              <w:t>）。</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D份额面向</w:t>
            </w:r>
            <w:r>
              <w:rPr>
                <w:rFonts w:hint="eastAsia" w:ascii="楷体" w:hAnsi="楷体" w:eastAsia="楷体" w:cs="宋体"/>
                <w:spacing w:val="-2"/>
                <w:sz w:val="21"/>
                <w:szCs w:val="21"/>
                <w:lang w:val="en-US" w:eastAsia="zh-CN"/>
              </w:rPr>
              <w:t>个人和机构投资者销售</w:t>
            </w:r>
            <w:r>
              <w:rPr>
                <w:rFonts w:hint="eastAsia" w:ascii="楷体" w:hAnsi="楷体" w:eastAsia="楷体" w:cs="宋体"/>
                <w:spacing w:val="-2"/>
                <w:sz w:val="21"/>
                <w:szCs w:val="21"/>
              </w:rPr>
              <w:t>（个人投资者销售机构江苏银行仅限财富客户购买，江苏银行财富客户指在江苏银行日均资产大于等于200万元的个人客户；机构投资者具体以销售机构设置为准）。</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F份额面向个人和机构投资者销售。（仅限江苏银行以外其他销售机构客户购买，具体以销售机构系统设置为准）。</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G份额面向个人和机构投资者销售。（仅限江苏银行以外其他销售机构客户购买，具体以销售机构系统设置为准）。</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H份额面向个人和机构投资者销售。</w:t>
            </w:r>
          </w:p>
          <w:p>
            <w:pPr>
              <w:pStyle w:val="45"/>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W份额面向个人和机构投资者销售。</w:t>
            </w:r>
          </w:p>
          <w:p>
            <w:pPr>
              <w:pStyle w:val="45"/>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S份额面向个人和机构投资者销售</w:t>
            </w:r>
            <w:r>
              <w:rPr>
                <w:rFonts w:hint="eastAsia" w:ascii="楷体" w:hAnsi="楷体" w:eastAsia="楷体" w:cs="宋体"/>
                <w:spacing w:val="-2"/>
                <w:sz w:val="21"/>
                <w:szCs w:val="21"/>
              </w:rPr>
              <w:t>（销售机构</w:t>
            </w:r>
            <w:r>
              <w:rPr>
                <w:rFonts w:hint="eastAsia" w:ascii="楷体" w:hAnsi="楷体" w:eastAsia="楷体" w:cs="宋体"/>
                <w:spacing w:val="-2"/>
                <w:sz w:val="21"/>
                <w:szCs w:val="21"/>
                <w:lang w:val="en-US" w:eastAsia="zh-CN"/>
              </w:rPr>
              <w:t>深圳农商</w:t>
            </w:r>
            <w:r>
              <w:rPr>
                <w:rFonts w:hint="eastAsia" w:ascii="楷体" w:hAnsi="楷体" w:eastAsia="楷体" w:cs="宋体"/>
                <w:spacing w:val="-2"/>
                <w:sz w:val="21"/>
                <w:szCs w:val="21"/>
              </w:rPr>
              <w:t>行仅限社区及私行专属客户购买，</w:t>
            </w:r>
            <w:r>
              <w:rPr>
                <w:rFonts w:hint="eastAsia" w:ascii="楷体" w:hAnsi="楷体" w:eastAsia="楷体" w:cs="宋体"/>
                <w:spacing w:val="-2"/>
                <w:sz w:val="21"/>
                <w:szCs w:val="21"/>
                <w:lang w:val="en-US" w:eastAsia="zh-CN"/>
              </w:rPr>
              <w:t>具体</w:t>
            </w:r>
            <w:r>
              <w:rPr>
                <w:rFonts w:hint="eastAsia" w:ascii="楷体" w:hAnsi="楷体" w:eastAsia="楷体" w:cs="宋体"/>
                <w:spacing w:val="-2"/>
                <w:sz w:val="21"/>
                <w:szCs w:val="21"/>
                <w:highlight w:val="none"/>
                <w:lang w:val="en-US" w:eastAsia="zh-CN"/>
              </w:rPr>
              <w:t>以销售机构设置为准</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45"/>
              <w:kinsoku w:val="0"/>
              <w:overflowPunct w:val="0"/>
              <w:spacing w:before="14"/>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45"/>
              <w:kinsoku w:val="0"/>
              <w:overflowPunct w:val="0"/>
              <w:spacing w:before="14"/>
              <w:ind w:left="59" w:right="73" w:rightChars="35"/>
              <w:jc w:val="both"/>
              <w:rPr>
                <w:rFonts w:hint="eastAsia" w:ascii="楷体" w:hAnsi="楷体" w:eastAsia="楷体" w:cs="宋体"/>
                <w:b/>
                <w:spacing w:val="-2"/>
                <w:sz w:val="21"/>
                <w:szCs w:val="21"/>
              </w:rPr>
            </w:pPr>
            <w:r>
              <w:rPr>
                <w:rFonts w:ascii="楷体" w:hAnsi="楷体" w:eastAsia="楷体" w:cs="宋体"/>
                <w:spacing w:val="-2"/>
                <w:sz w:val="21"/>
                <w:szCs w:val="21"/>
              </w:rPr>
              <w:t>3</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首期计划发行规模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w:t>
            </w:r>
            <w:r>
              <w:rPr>
                <w:rFonts w:hint="eastAsia" w:ascii="楷体" w:hAnsi="楷体" w:eastAsia="楷体" w:cs="宋体"/>
                <w:spacing w:val="-2"/>
                <w:szCs w:val="21"/>
                <w:lang w:eastAsia="zh-CN"/>
              </w:rPr>
              <w:t>。</w:t>
            </w:r>
            <w:r>
              <w:rPr>
                <w:rFonts w:hint="eastAsia" w:ascii="楷体" w:hAnsi="楷体" w:eastAsia="楷体" w:cs="宋体"/>
                <w:spacing w:val="-2"/>
                <w:szCs w:val="21"/>
              </w:rPr>
              <w:t>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ascii="楷体" w:hAnsi="楷体" w:eastAsia="楷体"/>
                <w:szCs w:val="21"/>
              </w:rPr>
            </w:pPr>
            <w:r>
              <w:rPr>
                <w:rFonts w:hint="eastAsia" w:ascii="楷体" w:hAnsi="楷体" w:eastAsia="楷体" w:cs="宋体"/>
                <w:spacing w:val="-2"/>
                <w:szCs w:val="21"/>
              </w:rPr>
              <w:t>C份额认购起点</w:t>
            </w:r>
            <w:r>
              <w:rPr>
                <w:rFonts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cs="宋体"/>
                <w:spacing w:val="-2"/>
                <w:szCs w:val="21"/>
              </w:rPr>
              <w:t>D份额个人投资者认购起点50万元，追加金额为1万元的整数倍；机构投资者认购起点5000万元，追加金额为1万元的整数倍</w:t>
            </w:r>
            <w:r>
              <w:rPr>
                <w:rFonts w:hint="eastAsia" w:ascii="楷体" w:hAnsi="楷体" w:eastAsia="楷体"/>
                <w:szCs w:val="21"/>
              </w:rPr>
              <w:t>。</w:t>
            </w:r>
          </w:p>
          <w:p>
            <w:pPr>
              <w:ind w:left="59" w:right="73" w:rightChars="35"/>
              <w:rPr>
                <w:rFonts w:hint="eastAsia" w:ascii="楷体" w:hAnsi="楷体" w:eastAsia="楷体"/>
                <w:szCs w:val="21"/>
              </w:rPr>
            </w:pPr>
            <w:r>
              <w:rPr>
                <w:rFonts w:hint="eastAsia" w:ascii="楷体" w:hAnsi="楷体" w:eastAsia="楷体"/>
                <w:szCs w:val="21"/>
                <w:lang w:val="en-US" w:eastAsia="zh-CN"/>
              </w:rPr>
              <w:t>F份额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szCs w:val="21"/>
                <w:lang w:val="en-US" w:eastAsia="zh-CN"/>
              </w:rPr>
              <w:t>G份额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szCs w:val="21"/>
                <w:lang w:val="en-US" w:eastAsia="zh-CN"/>
              </w:rPr>
              <w:t>H份额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lang w:eastAsia="zh-CN"/>
              </w:rPr>
            </w:pPr>
            <w:r>
              <w:rPr>
                <w:rFonts w:hint="eastAsia" w:ascii="楷体" w:hAnsi="楷体" w:eastAsia="楷体"/>
                <w:szCs w:val="21"/>
                <w:lang w:val="en-US" w:eastAsia="zh-CN"/>
              </w:rPr>
              <w:t>W份额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r>
              <w:rPr>
                <w:rFonts w:hint="eastAsia" w:ascii="楷体" w:hAnsi="楷体" w:eastAsia="楷体"/>
                <w:szCs w:val="21"/>
                <w:lang w:eastAsia="zh-CN"/>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S</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leftChars="0" w:right="73" w:rightChars="35"/>
              <w:rPr>
                <w:rFonts w:hint="eastAsia" w:ascii="楷体" w:hAnsi="楷体" w:eastAsia="楷体" w:cs="宋体"/>
                <w:spacing w:val="-2"/>
                <w:sz w:val="21"/>
                <w:szCs w:val="21"/>
              </w:rPr>
            </w:pPr>
            <w:r>
              <w:rPr>
                <w:rFonts w:hint="eastAsia" w:ascii="楷体" w:hAnsi="楷体" w:eastAsia="楷体"/>
                <w:szCs w:val="21"/>
              </w:rPr>
              <w:t>认购起点/追加金额具体以</w:t>
            </w:r>
            <w:r>
              <w:rPr>
                <w:rFonts w:hint="eastAsia" w:ascii="楷体" w:hAnsi="楷体" w:eastAsia="楷体"/>
                <w:szCs w:val="21"/>
                <w:lang w:val="en-US" w:eastAsia="zh-CN"/>
              </w:rPr>
              <w:t>销售</w:t>
            </w:r>
            <w:r>
              <w:rPr>
                <w:rFonts w:hint="eastAsia" w:ascii="楷体" w:hAnsi="楷体" w:eastAsia="楷体"/>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份额面值</w:t>
            </w:r>
          </w:p>
        </w:tc>
        <w:tc>
          <w:tcPr>
            <w:tcW w:w="6614" w:type="dxa"/>
            <w:noWrap w:val="0"/>
            <w:vAlign w:val="center"/>
          </w:tcPr>
          <w:p>
            <w:pPr>
              <w:pStyle w:val="45"/>
              <w:kinsoku w:val="0"/>
              <w:overflowPunct w:val="0"/>
              <w:spacing w:before="12"/>
              <w:ind w:left="59" w:leftChars="0" w:right="73" w:rightChars="35"/>
              <w:jc w:val="both"/>
              <w:rPr>
                <w:rFonts w:hint="eastAsia" w:ascii="楷体" w:hAnsi="楷体" w:eastAsia="楷体" w:cs="宋体"/>
                <w:spacing w:val="-2"/>
                <w:kern w:val="0"/>
                <w:sz w:val="21"/>
                <w:szCs w:val="21"/>
                <w:highlight w:val="none"/>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29</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日</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ascii="楷体" w:hAnsi="楷体" w:eastAsia="楷体" w:cs="宋体"/>
                <w:spacing w:val="-2"/>
                <w:sz w:val="21"/>
                <w:szCs w:val="21"/>
              </w:rPr>
              <w:t>000</w:t>
            </w:r>
            <w:r>
              <w:rPr>
                <w:rFonts w:hint="eastAsia" w:ascii="楷体" w:hAnsi="楷体" w:eastAsia="楷体" w:cs="宋体"/>
                <w:spacing w:val="-2"/>
                <w:sz w:val="21"/>
                <w:szCs w:val="21"/>
              </w:rPr>
              <w:t>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27</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（如遇节假日，顺延至下一工作日）</w:t>
            </w:r>
          </w:p>
          <w:p>
            <w:pPr>
              <w:pStyle w:val="45"/>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在符合本理财产品说明书约定的条件下，管理人有权提前终止该产品，产品到期日受制于提前终止条款。详见下文“十一、产品的终止与清算”。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45"/>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本产品按投资周期开放申购与赎回，首个投资周期终止日为</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14</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，之后本产品每</w:t>
            </w:r>
            <w:r>
              <w:rPr>
                <w:rFonts w:ascii="楷体" w:hAnsi="楷体" w:eastAsia="楷体" w:cs="宋体"/>
                <w:spacing w:val="-2"/>
                <w:sz w:val="21"/>
                <w:szCs w:val="21"/>
              </w:rPr>
              <w:t>3</w:t>
            </w:r>
            <w:r>
              <w:rPr>
                <w:rFonts w:hint="eastAsia" w:ascii="楷体" w:hAnsi="楷体" w:eastAsia="楷体" w:cs="宋体"/>
                <w:spacing w:val="-2"/>
                <w:sz w:val="21"/>
                <w:szCs w:val="21"/>
              </w:rPr>
              <w:t>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45"/>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w:t>
            </w:r>
            <w:r>
              <w:rPr>
                <w:rFonts w:hint="eastAsia" w:ascii="楷体" w:hAnsi="楷体" w:eastAsia="楷体" w:cs="宋体"/>
                <w:b/>
                <w:spacing w:val="-2"/>
                <w:sz w:val="21"/>
                <w:szCs w:val="21"/>
                <w:lang w:val="en-US" w:eastAsia="zh-CN"/>
              </w:rPr>
              <w:t>单日</w:t>
            </w:r>
            <w:r>
              <w:rPr>
                <w:rFonts w:hint="eastAsia" w:ascii="楷体" w:hAnsi="楷体" w:eastAsia="楷体" w:cs="宋体"/>
                <w:b/>
                <w:spacing w:val="-2"/>
                <w:sz w:val="21"/>
                <w:szCs w:val="21"/>
              </w:rPr>
              <w:t>认/申购限额</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1亿元。</w:t>
            </w:r>
            <w:r>
              <w:rPr>
                <w:rFonts w:hint="eastAsia" w:ascii="楷体" w:hAnsi="楷体" w:eastAsia="楷体" w:cs="宋体"/>
                <w:spacing w:val="-2"/>
                <w:sz w:val="21"/>
                <w:szCs w:val="21"/>
              </w:rPr>
              <w:t>超过单日累计认/申购上限时，</w:t>
            </w:r>
            <w:r>
              <w:rPr>
                <w:rFonts w:hint="eastAsia" w:ascii="楷体" w:hAnsi="楷体" w:eastAsia="楷体" w:cs="宋体"/>
                <w:spacing w:val="-2"/>
                <w:sz w:val="21"/>
                <w:szCs w:val="21"/>
                <w:lang w:val="en-US" w:eastAsia="zh-CN"/>
              </w:rPr>
              <w:t>管理人有权</w:t>
            </w:r>
            <w:r>
              <w:rPr>
                <w:rFonts w:hint="eastAsia" w:ascii="楷体" w:hAnsi="楷体" w:eastAsia="楷体" w:cs="宋体"/>
                <w:spacing w:val="-2"/>
                <w:sz w:val="21"/>
                <w:szCs w:val="21"/>
              </w:rPr>
              <w:t>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45"/>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1亿份。</w:t>
            </w:r>
            <w:r>
              <w:rPr>
                <w:rFonts w:hint="eastAsia" w:ascii="楷体" w:hAnsi="楷体" w:eastAsia="楷体" w:cs="宋体"/>
                <w:b/>
                <w:bCs/>
                <w:spacing w:val="-2"/>
                <w:kern w:val="0"/>
                <w:sz w:val="21"/>
                <w:szCs w:val="21"/>
                <w:u w:val="single"/>
                <w:lang w:val="en-US" w:eastAsia="zh-CN" w:bidi="ar-SA"/>
              </w:rPr>
              <w:t>超过单个客户赎回限额时，管理人有权拒绝投资者的赎回申请。对于单个投资者单个开放日申请赎回理财份额超过上一交易日日终理财产品总份额的10%的部分，管理人有权暂停接受其赎回申请。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45"/>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巨额赎回</w:t>
            </w:r>
          </w:p>
        </w:tc>
        <w:tc>
          <w:tcPr>
            <w:tcW w:w="6614" w:type="dxa"/>
            <w:noWrap w:val="0"/>
            <w:vAlign w:val="center"/>
          </w:tcPr>
          <w:p>
            <w:pPr>
              <w:ind w:right="115" w:rightChars="55"/>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3" w:rightChars="35"/>
              <w:jc w:val="both"/>
              <w:rPr>
                <w:rFonts w:hint="eastAsia" w:ascii="楷体" w:hAnsi="楷体" w:eastAsia="楷体" w:cs="宋体"/>
                <w:spacing w:val="-2"/>
                <w:sz w:val="21"/>
                <w:szCs w:val="21"/>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right="53" w:rightChars="25"/>
              <w:textAlignment w:val="auto"/>
              <w:outlineLvl w:val="9"/>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ind w:left="59" w:right="73" w:rightChars="35"/>
              <w:rPr>
                <w:rFonts w:hint="eastAsia" w:ascii="楷体" w:hAnsi="楷体" w:eastAsia="楷体"/>
                <w:szCs w:val="21"/>
              </w:rPr>
            </w:pPr>
            <w:r>
              <w:rPr>
                <w:rFonts w:hint="eastAsia" w:ascii="楷体" w:hAnsi="楷体" w:eastAsia="楷体" w:cs="宋体"/>
                <w:b/>
                <w:bCs/>
                <w:spacing w:val="-2"/>
                <w:sz w:val="21"/>
                <w:szCs w:val="21"/>
                <w:u w:val="single"/>
              </w:rPr>
              <w:t>苏银理财</w:t>
            </w:r>
            <w:r>
              <w:rPr>
                <w:rFonts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b w:val="0"/>
                <w:bCs w:val="0"/>
                <w:spacing w:val="-2"/>
                <w:sz w:val="21"/>
                <w:szCs w:val="21"/>
                <w:u w:val="single"/>
              </w:rPr>
              <w:t>各份额业绩比较基准如下：</w:t>
            </w:r>
          </w:p>
          <w:tbl>
            <w:tblPr>
              <w:tblStyle w:val="14"/>
              <w:tblW w:w="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812"/>
              <w:gridCol w:w="1871"/>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39" w:type="dxa"/>
                  <w:noWrap w:val="0"/>
                  <w:vAlign w:val="center"/>
                </w:tcPr>
                <w:p>
                  <w:pPr>
                    <w:jc w:val="center"/>
                    <w:rPr>
                      <w:rFonts w:ascii="楷体" w:hAnsi="楷体" w:eastAsia="楷体"/>
                      <w:szCs w:val="21"/>
                    </w:rPr>
                  </w:pPr>
                  <w:r>
                    <w:rPr>
                      <w:rFonts w:hint="eastAsia" w:ascii="楷体" w:hAnsi="楷体" w:eastAsia="楷体"/>
                      <w:szCs w:val="21"/>
                    </w:rPr>
                    <w:t>投资周期</w:t>
                  </w:r>
                </w:p>
              </w:tc>
              <w:tc>
                <w:tcPr>
                  <w:tcW w:w="1812" w:type="dxa"/>
                  <w:noWrap w:val="0"/>
                  <w:vAlign w:val="center"/>
                </w:tcPr>
                <w:p>
                  <w:pPr>
                    <w:jc w:val="center"/>
                    <w:rPr>
                      <w:rFonts w:ascii="楷体" w:hAnsi="楷体" w:eastAsia="楷体"/>
                      <w:szCs w:val="21"/>
                    </w:rPr>
                  </w:pPr>
                  <w:r>
                    <w:rPr>
                      <w:rFonts w:hint="eastAsia" w:ascii="楷体" w:hAnsi="楷体" w:eastAsia="楷体"/>
                      <w:szCs w:val="21"/>
                    </w:rPr>
                    <w:t>投资周期起始日</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投资周期终止日</w:t>
                  </w:r>
                </w:p>
              </w:tc>
              <w:tc>
                <w:tcPr>
                  <w:tcW w:w="1928" w:type="dxa"/>
                  <w:noWrap w:val="0"/>
                  <w:vAlign w:val="center"/>
                </w:tcPr>
                <w:p>
                  <w:pPr>
                    <w:jc w:val="center"/>
                    <w:rPr>
                      <w:rFonts w:hint="eastAsia" w:ascii="楷体" w:hAnsi="楷体" w:eastAsia="楷体"/>
                      <w:szCs w:val="21"/>
                    </w:rPr>
                  </w:pPr>
                  <w:r>
                    <w:rPr>
                      <w:rFonts w:hint="eastAsia" w:ascii="楷体" w:hAnsi="楷体" w:eastAsia="楷体"/>
                      <w:szCs w:val="21"/>
                    </w:rPr>
                    <w:t>业绩比较基准</w:t>
                  </w:r>
                </w:p>
                <w:p>
                  <w:pPr>
                    <w:jc w:val="center"/>
                    <w:rPr>
                      <w:rFonts w:hint="default" w:ascii="楷体" w:hAnsi="楷体" w:eastAsia="楷体"/>
                      <w:szCs w:val="21"/>
                      <w:lang w:val="en-US" w:eastAsia="zh-CN"/>
                    </w:rPr>
                  </w:pPr>
                  <w:r>
                    <w:rPr>
                      <w:rFonts w:hint="eastAsia" w:ascii="楷体" w:hAnsi="楷体" w:eastAsia="楷体"/>
                      <w:szCs w:val="21"/>
                      <w:lang w:eastAsia="zh-CN"/>
                    </w:rPr>
                    <w:t>（</w:t>
                  </w:r>
                  <w:r>
                    <w:rPr>
                      <w:rFonts w:hint="eastAsia" w:ascii="楷体" w:hAnsi="楷体" w:eastAsia="楷体"/>
                      <w:szCs w:val="21"/>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2023年12月6日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2024年3月14日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G份额2.70%-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H份额2.70%-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2</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2024年3月15日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2024年6月26日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G份额2.70%-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H份额2.70%-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3</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2024年6月27日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2024年9月26日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C份额2.60%-3.40%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D份额2.65%-3.45%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G份额2.50%-3.30%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H份额2.50%-3.30%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W份额2.50%-3.30%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4</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2024年9月27日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2025年1月9日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C份额2.40%-3.20%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D份额2.45%-3.25%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G份额2.30%-3.10%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H份额2.30%-3.10%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2025年1月10日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2025年4月16日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D份额2.35%-3.15%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G份额2.20%-3.00%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H份额2.20%-3.00%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S份额2.30%-3.10%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6</w:t>
                  </w:r>
                </w:p>
              </w:tc>
              <w:tc>
                <w:tcPr>
                  <w:tcW w:w="1812"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2025年4月17日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2025年7月23日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739"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7</w:t>
                  </w:r>
                </w:p>
              </w:tc>
              <w:tc>
                <w:tcPr>
                  <w:tcW w:w="1812"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2025年7月24日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2025年10月29日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D份额2.25%-3.05%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G份额2.10%-2.90%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H份额2.10%-2.90%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S份额2.20%-3.00%</w:t>
                  </w:r>
                </w:p>
              </w:tc>
            </w:tr>
          </w:tbl>
          <w:p>
            <w:pPr>
              <w:ind w:left="59" w:leftChars="0" w:right="73" w:rightChars="35"/>
              <w:rPr>
                <w:rFonts w:hint="eastAsia" w:ascii="楷体" w:hAnsi="楷体" w:eastAsia="楷体" w:cs="宋体"/>
                <w:b/>
                <w:spacing w:val="-2"/>
                <w:szCs w:val="21"/>
                <w:u w:val="single"/>
              </w:rPr>
            </w:pPr>
            <w:bookmarkStart w:id="0" w:name="_GoBack"/>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5"/>
              <w:kinsoku w:val="0"/>
              <w:overflowPunct w:val="0"/>
              <w:spacing w:before="18"/>
              <w:ind w:left="55"/>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w:t>
            </w:r>
            <w:r>
              <w:rPr>
                <w:rFonts w:hint="eastAsia" w:ascii="楷体" w:hAnsi="楷体" w:eastAsia="楷体" w:cs="宋体"/>
                <w:spacing w:val="-2"/>
                <w:szCs w:val="21"/>
                <w:lang w:val="en-US" w:eastAsia="zh-CN"/>
              </w:rPr>
              <w:t>0.50%/年</w:t>
            </w:r>
            <w:r>
              <w:rPr>
                <w:rFonts w:hint="eastAsia" w:ascii="楷体" w:hAnsi="楷体" w:eastAsia="楷体" w:cs="宋体"/>
                <w:spacing w:val="-2"/>
                <w:szCs w:val="21"/>
              </w:rPr>
              <w:t>。</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ascii="楷体" w:hAnsi="楷体" w:eastAsia="楷体" w:cs="宋体"/>
                <w:spacing w:val="-2"/>
                <w:szCs w:val="21"/>
              </w:rPr>
              <w:t>0.8</w:t>
            </w:r>
            <w:r>
              <w:rPr>
                <w:rFonts w:hint="eastAsia" w:ascii="楷体" w:hAnsi="楷体" w:eastAsia="楷体" w:cs="宋体"/>
                <w:spacing w:val="-2"/>
                <w:szCs w:val="21"/>
              </w:rPr>
              <w:t>0%/年，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0.7</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6</w:t>
            </w:r>
            <w:r>
              <w:rPr>
                <w:rFonts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G</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H</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W</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S</w:t>
            </w:r>
            <w:r>
              <w:rPr>
                <w:rFonts w:hint="eastAsia" w:ascii="楷体" w:hAnsi="楷体" w:eastAsia="楷体" w:cs="宋体"/>
                <w:spacing w:val="-2"/>
                <w:szCs w:val="21"/>
              </w:rPr>
              <w:t>份额</w:t>
            </w:r>
            <w:r>
              <w:rPr>
                <w:rFonts w:ascii="楷体" w:hAnsi="楷体" w:eastAsia="楷体" w:cs="宋体"/>
                <w:spacing w:val="-2"/>
                <w:szCs w:val="21"/>
              </w:rPr>
              <w:t>0.7</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w:t>
            </w:r>
            <w:r>
              <w:rPr>
                <w:rFonts w:hint="eastAsia" w:ascii="楷体" w:hAnsi="楷体" w:eastAsia="楷体" w:cs="宋体"/>
                <w:spacing w:val="-2"/>
                <w:szCs w:val="21"/>
                <w:lang w:val="en-US" w:eastAsia="zh-CN"/>
              </w:rPr>
              <w:t>上限</w:t>
            </w:r>
            <w:r>
              <w:rPr>
                <w:rFonts w:hint="eastAsia" w:ascii="楷体" w:hAnsi="楷体" w:eastAsia="楷体" w:cs="宋体"/>
                <w:spacing w:val="-2"/>
                <w:szCs w:val="21"/>
              </w:rPr>
              <w:t>，则该投资周期终止日后管理人将按照超出部分的</w:t>
            </w:r>
            <w:r>
              <w:rPr>
                <w:rFonts w:hint="eastAsia" w:ascii="楷体" w:hAnsi="楷体" w:eastAsia="楷体" w:cs="宋体"/>
                <w:spacing w:val="-2"/>
                <w:szCs w:val="21"/>
                <w:lang w:val="en-US" w:eastAsia="zh-CN"/>
              </w:rPr>
              <w:t>50</w:t>
            </w:r>
            <w:r>
              <w:rPr>
                <w:rFonts w:hint="eastAsia" w:ascii="楷体" w:hAnsi="楷体" w:eastAsia="楷体" w:cs="宋体"/>
                <w:spacing w:val="-2"/>
                <w:szCs w:val="21"/>
              </w:rPr>
              <w:t>%收取超额业绩报酬。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ind w:left="59" w:right="73" w:rightChars="35"/>
              <w:rPr>
                <w:rFonts w:ascii="楷体" w:hAnsi="楷体" w:eastAsia="楷体"/>
                <w:sz w:val="24"/>
                <w:szCs w:val="24"/>
              </w:rPr>
            </w:pPr>
            <w:r>
              <w:rPr>
                <w:rFonts w:hint="eastAsia" w:ascii="楷体" w:hAnsi="楷体" w:eastAsia="楷体" w:cs="宋体"/>
                <w:spacing w:val="-2"/>
                <w:szCs w:val="21"/>
              </w:rPr>
              <w:t>产品存续期内苏银理财可对</w:t>
            </w:r>
            <w:r>
              <w:rPr>
                <w:rFonts w:hint="eastAsia" w:ascii="楷体" w:hAnsi="楷体" w:eastAsia="楷体" w:cs="宋体"/>
                <w:spacing w:val="-2"/>
                <w:szCs w:val="21"/>
                <w:lang w:val="en-US" w:eastAsia="zh-CN"/>
              </w:rPr>
              <w:t>费用进行调整</w:t>
            </w:r>
            <w:r>
              <w:rPr>
                <w:rFonts w:hint="eastAsia" w:ascii="楷体" w:hAnsi="楷体" w:eastAsia="楷体" w:cs="宋体"/>
                <w:spacing w:val="-2"/>
                <w:szCs w:val="21"/>
              </w:rPr>
              <w:t>，实际收取费率以管理人公告为准。</w:t>
            </w:r>
            <w:r>
              <w:rPr>
                <w:rFonts w:hint="eastAsia" w:ascii="楷体" w:hAnsi="楷体" w:eastAsia="楷体" w:cs="宋体"/>
                <w:b/>
                <w:spacing w:val="-2"/>
                <w:szCs w:val="21"/>
                <w:u w:val="single"/>
              </w:rPr>
              <w:t>本产品设置有多个份额，各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按照设置的销售对象和销售起点进行销售，各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购价格和赎回价格。详见下文“十、产品估值”。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5"/>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收益分配</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到期，投资收益扣除相关费用后，全部分配给投资者。详见下文“十</w:t>
            </w:r>
            <w:r>
              <w:rPr>
                <w:rFonts w:hint="eastAsia" w:ascii="楷体" w:hAnsi="楷体" w:eastAsia="楷体" w:cs="宋体"/>
                <w:spacing w:val="-2"/>
                <w:szCs w:val="21"/>
                <w:highlight w:val="none"/>
                <w:lang w:val="en-US" w:eastAsia="zh-CN"/>
              </w:rPr>
              <w:t>一</w:t>
            </w:r>
            <w:r>
              <w:rPr>
                <w:rFonts w:hint="eastAsia" w:ascii="楷体" w:hAnsi="楷体" w:eastAsia="楷体" w:cs="宋体"/>
                <w:spacing w:val="-2"/>
                <w:szCs w:val="21"/>
                <w:highlight w:val="none"/>
              </w:rPr>
              <w:t>、</w:t>
            </w:r>
          </w:p>
          <w:p>
            <w:pPr>
              <w:ind w:left="59" w:leftChars="0" w:right="73" w:rightChars="35"/>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管理人将按照《理财产品说明书》中约定的方式进行信息披露，详见下文“十五、信息披露”。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5"/>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本产品运作过程中涉及的各纳税主体，其纳税义务按国家税收法律、法规执行。详见下文“十三、税收规定”。</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任公司，苏银理财系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lang w:val="en-US" w:eastAsia="zh-CN"/>
        </w:rPr>
        <w:t>最低</w:t>
      </w:r>
      <w:r>
        <w:rPr>
          <w:rFonts w:ascii="楷体" w:hAnsi="楷体" w:eastAsia="楷体" w:cs="Calibri"/>
          <w:sz w:val="24"/>
          <w:szCs w:val="24"/>
        </w:rPr>
        <w:t>金额等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法律法规、监管政策和本理财计划文件约定的其他权利。</w:t>
      </w:r>
    </w:p>
    <w:p>
      <w:pPr>
        <w:numPr>
          <w:ilvl w:val="0"/>
          <w:numId w:val="3"/>
        </w:numPr>
        <w:tabs>
          <w:tab w:val="left" w:pos="1134"/>
        </w:tabs>
        <w:ind w:firstLine="562" w:firstLineChars="200"/>
        <w:outlineLvl w:val="0"/>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yellow"/>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62"/>
        <w:gridCol w:w="3827"/>
        <w:gridCol w:w="3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份额</w:t>
            </w:r>
          </w:p>
        </w:tc>
        <w:tc>
          <w:tcPr>
            <w:tcW w:w="4317" w:type="pct"/>
            <w:gridSpan w:val="2"/>
            <w:tcBorders>
              <w:top w:val="single" w:color="000000" w:sz="4" w:space="0"/>
              <w:left w:val="single" w:color="000000" w:sz="4" w:space="0"/>
              <w:bottom w:val="single" w:color="auto"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restart"/>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A份额</w:t>
            </w:r>
          </w:p>
        </w:tc>
        <w:tc>
          <w:tcPr>
            <w:tcW w:w="2246"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江苏银行股份有限公司</w:t>
            </w:r>
          </w:p>
        </w:tc>
        <w:tc>
          <w:tcPr>
            <w:tcW w:w="2071"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0"/>
                <w:sz w:val="18"/>
                <w:szCs w:val="18"/>
                <w:u w:val="none"/>
                <w:lang w:val="en-US" w:eastAsia="zh-CN" w:bidi="ar"/>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江苏睢宁农村商业银行股份有限公司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auto"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C份额</w:t>
            </w:r>
          </w:p>
        </w:tc>
        <w:tc>
          <w:tcPr>
            <w:tcW w:w="2246"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z w:val="18"/>
                <w:szCs w:val="18"/>
                <w:u w:val="none"/>
                <w:lang w:val="en-US" w:eastAsia="zh-CN"/>
              </w:rPr>
              <w:t>江苏银行股份有限公司</w:t>
            </w:r>
          </w:p>
        </w:tc>
        <w:tc>
          <w:tcPr>
            <w:tcW w:w="2071"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246"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威海银行股份有限公司</w:t>
            </w:r>
          </w:p>
        </w:tc>
        <w:tc>
          <w:tcPr>
            <w:tcW w:w="2071"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D份额</w:t>
            </w:r>
          </w:p>
        </w:tc>
        <w:tc>
          <w:tcPr>
            <w:tcW w:w="2246"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江苏银行股份有限公司</w:t>
            </w:r>
          </w:p>
        </w:tc>
        <w:tc>
          <w:tcPr>
            <w:tcW w:w="207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auto" w:sz="4" w:space="0"/>
              <w:left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F份额</w:t>
            </w:r>
          </w:p>
        </w:tc>
        <w:tc>
          <w:tcPr>
            <w:tcW w:w="2246" w:type="pct"/>
            <w:tcBorders>
              <w:top w:val="single" w:color="auto" w:sz="4" w:space="0"/>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宁波通商银行</w:t>
            </w:r>
            <w:r>
              <w:rPr>
                <w:rFonts w:hint="eastAsia" w:ascii="楷体" w:hAnsi="楷体" w:eastAsia="楷体" w:cs="楷体"/>
                <w:i w:val="0"/>
                <w:iCs w:val="0"/>
                <w:color w:val="000000"/>
                <w:sz w:val="18"/>
                <w:szCs w:val="18"/>
                <w:u w:val="none"/>
                <w:lang w:val="en-US" w:eastAsia="zh-CN"/>
              </w:rPr>
              <w:t>股份有限公司</w:t>
            </w:r>
          </w:p>
        </w:tc>
        <w:tc>
          <w:tcPr>
            <w:tcW w:w="2071" w:type="pct"/>
            <w:tcBorders>
              <w:top w:val="single" w:color="auto" w:sz="4" w:space="0"/>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深圳</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广州</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苏州银行</w:t>
            </w:r>
            <w:r>
              <w:rPr>
                <w:rFonts w:hint="eastAsia" w:ascii="楷体" w:hAnsi="楷体" w:eastAsia="楷体" w:cs="楷体"/>
                <w:i w:val="0"/>
                <w:iCs w:val="0"/>
                <w:color w:val="000000"/>
                <w:sz w:val="18"/>
                <w:szCs w:val="18"/>
                <w:u w:val="none"/>
                <w:lang w:val="en-US" w:eastAsia="zh-CN"/>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北京</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华侨银行</w:t>
            </w:r>
            <w:r>
              <w:rPr>
                <w:rFonts w:hint="eastAsia" w:ascii="楷体" w:hAnsi="楷体" w:eastAsia="楷体" w:cs="楷体"/>
                <w:i w:val="0"/>
                <w:iCs w:val="0"/>
                <w:color w:val="000000"/>
                <w:sz w:val="18"/>
                <w:szCs w:val="18"/>
                <w:u w:val="none"/>
                <w:lang w:val="en-US" w:eastAsia="zh-CN"/>
              </w:rPr>
              <w:t>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徽商银行股份有限公司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交通银行股份有限公司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广州银行股份有限公司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杭州联合农村商业银行股份有限公司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浙江绍兴瑞丰农村商业银行股份有限公司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浙江乐清农村商业银行股份有限公司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浙江余杭农村商业银行股份有限公司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浙江瑞安农村商业银行股份有限公司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莱商银行股份有限公司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浙江青田农村商业银行股份有限公司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浙江永康农村商业银行股份有限公司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浙江台州路桥农村商业银行股份有限公司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浙江武义农村商业银行股份有限公司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浙江衢州衢江农村商业银行股份有限公司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潍坊银行股份有限公司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山西银行股份有限公司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福建海峡银行股份有限公司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246"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浙江义乌农村商业银行股份有限公司</w:t>
            </w:r>
          </w:p>
        </w:tc>
        <w:tc>
          <w:tcPr>
            <w:tcW w:w="2071"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auto" w:sz="4" w:space="0"/>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G份额</w:t>
            </w:r>
          </w:p>
        </w:tc>
        <w:tc>
          <w:tcPr>
            <w:tcW w:w="2246" w:type="pct"/>
            <w:tcBorders>
              <w:top w:val="single" w:color="auto" w:sz="4" w:space="0"/>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扬州</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single" w:color="auto" w:sz="4" w:space="0"/>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句容</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深圳前海</w:t>
            </w:r>
            <w:r>
              <w:rPr>
                <w:rFonts w:hint="default" w:ascii="楷体" w:hAnsi="楷体" w:eastAsia="楷体" w:cs="楷体"/>
                <w:i w:val="0"/>
                <w:iCs w:val="0"/>
                <w:color w:val="000000"/>
                <w:sz w:val="18"/>
                <w:szCs w:val="18"/>
                <w:u w:val="none"/>
                <w:lang w:val="en-US" w:eastAsia="zh-CN"/>
              </w:rPr>
              <w:t>微众银行</w:t>
            </w:r>
            <w:r>
              <w:rPr>
                <w:rFonts w:hint="eastAsia" w:ascii="楷体" w:hAnsi="楷体" w:eastAsia="楷体" w:cs="楷体"/>
                <w:i w:val="0"/>
                <w:iCs w:val="0"/>
                <w:color w:val="000000"/>
                <w:sz w:val="18"/>
                <w:szCs w:val="18"/>
                <w:u w:val="none"/>
                <w:lang w:val="en-US" w:eastAsia="zh-CN"/>
              </w:rPr>
              <w:t>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沭阳</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丹阳</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盱眙</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新沂</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宜兴</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如东</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溧水</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东台</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泗洪</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泰兴</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启东</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扬中</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海安</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靖江</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如皋</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徐州</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阜宁</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南通</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兴业银行</w:t>
            </w:r>
            <w:r>
              <w:rPr>
                <w:rFonts w:hint="eastAsia" w:ascii="楷体" w:hAnsi="楷体" w:eastAsia="楷体" w:cs="楷体"/>
                <w:i w:val="0"/>
                <w:iCs w:val="0"/>
                <w:color w:val="000000"/>
                <w:sz w:val="18"/>
                <w:szCs w:val="18"/>
                <w:u w:val="none"/>
                <w:lang w:val="en-US" w:eastAsia="zh-CN"/>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洪泽</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上海银行</w:t>
            </w:r>
            <w:r>
              <w:rPr>
                <w:rFonts w:hint="eastAsia" w:ascii="楷体" w:hAnsi="楷体" w:eastAsia="楷体" w:cs="楷体"/>
                <w:i w:val="0"/>
                <w:iCs w:val="0"/>
                <w:color w:val="000000"/>
                <w:sz w:val="18"/>
                <w:szCs w:val="18"/>
                <w:u w:val="none"/>
                <w:lang w:val="en-US" w:eastAsia="zh-CN"/>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邳州</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张家港</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淮安</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江阴</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紫金</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宁波东海银行</w:t>
            </w:r>
            <w:r>
              <w:rPr>
                <w:rFonts w:hint="eastAsia" w:ascii="楷体" w:hAnsi="楷体" w:eastAsia="楷体" w:cs="楷体"/>
                <w:i w:val="0"/>
                <w:iCs w:val="0"/>
                <w:color w:val="000000"/>
                <w:sz w:val="18"/>
                <w:szCs w:val="18"/>
                <w:u w:val="none"/>
                <w:lang w:val="en-US" w:eastAsia="zh-CN"/>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江苏</w:t>
            </w:r>
            <w:r>
              <w:rPr>
                <w:rFonts w:hint="default" w:ascii="楷体" w:hAnsi="楷体" w:eastAsia="楷体" w:cs="楷体"/>
                <w:i w:val="0"/>
                <w:iCs w:val="0"/>
                <w:color w:val="000000"/>
                <w:sz w:val="18"/>
                <w:szCs w:val="18"/>
                <w:u w:val="none"/>
                <w:lang w:val="en-US" w:eastAsia="zh-CN"/>
              </w:rPr>
              <w:t>涟水</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齐鲁银行</w:t>
            </w:r>
            <w:r>
              <w:rPr>
                <w:rFonts w:hint="eastAsia" w:ascii="楷体" w:hAnsi="楷体" w:eastAsia="楷体" w:cs="楷体"/>
                <w:i w:val="0"/>
                <w:iCs w:val="0"/>
                <w:color w:val="000000"/>
                <w:sz w:val="18"/>
                <w:szCs w:val="18"/>
                <w:u w:val="none"/>
                <w:lang w:val="en-US" w:eastAsia="zh-CN"/>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江苏民丰农村商业银行股份有限公司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江苏仪征农村商业银行股份有限公司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江苏苏州农村商业银行股份有限公司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single" w:color="auto"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江苏大丰农村商业银行股份有限公司</w:t>
            </w:r>
          </w:p>
        </w:tc>
        <w:tc>
          <w:tcPr>
            <w:tcW w:w="2071" w:type="pct"/>
            <w:tcBorders>
              <w:top w:val="nil"/>
              <w:left w:val="nil"/>
              <w:bottom w:val="single" w:color="auto" w:sz="4" w:space="0"/>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H份额</w:t>
            </w:r>
          </w:p>
        </w:tc>
        <w:tc>
          <w:tcPr>
            <w:tcW w:w="2246" w:type="pct"/>
            <w:tcBorders>
              <w:top w:val="single" w:color="auto" w:sz="4" w:space="0"/>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永嘉</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single" w:color="auto" w:sz="4" w:space="0"/>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乐清</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嘉善</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余杭</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杭州联合农村商业银行股份有限公司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瑞安</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青田</w:t>
            </w:r>
            <w:r>
              <w:rPr>
                <w:rFonts w:hint="eastAsia" w:ascii="楷体" w:hAnsi="楷体" w:eastAsia="楷体" w:cs="楷体"/>
                <w:i w:val="0"/>
                <w:iCs w:val="0"/>
                <w:color w:val="000000"/>
                <w:sz w:val="18"/>
                <w:szCs w:val="18"/>
                <w:u w:val="none"/>
                <w:lang w:val="en-US" w:eastAsia="zh-CN"/>
              </w:rPr>
              <w:t>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w:t>
            </w:r>
            <w:r>
              <w:rPr>
                <w:rFonts w:hint="default" w:ascii="楷体" w:hAnsi="楷体" w:eastAsia="楷体" w:cs="楷体"/>
                <w:i w:val="0"/>
                <w:iCs w:val="0"/>
                <w:color w:val="000000"/>
                <w:sz w:val="18"/>
                <w:szCs w:val="18"/>
                <w:u w:val="none"/>
                <w:lang w:val="en-US" w:eastAsia="zh-CN"/>
              </w:rPr>
              <w:t>永康</w:t>
            </w:r>
            <w:r>
              <w:rPr>
                <w:rFonts w:hint="eastAsia" w:ascii="楷体" w:hAnsi="楷体" w:eastAsia="楷体" w:cs="楷体"/>
                <w:i w:val="0"/>
                <w:iCs w:val="0"/>
                <w:color w:val="000000"/>
                <w:sz w:val="18"/>
                <w:szCs w:val="18"/>
                <w:u w:val="none"/>
                <w:lang w:val="en-US" w:eastAsia="zh-CN"/>
              </w:rPr>
              <w:t>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浙江舟山定海海洋农村商业银行股份有限公司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浙江台州路桥农村商业银行股份有限公司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浙江武义农村商业银行股份有限公司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浙江衢州衢江农村商业银行股份有限公司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浙江江山农村商业银行股份有限公司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浙江萧山农村商业银行股份有限公司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浙江绍兴瑞丰农村商业银行股份有限公司</w:t>
            </w:r>
          </w:p>
        </w:tc>
        <w:tc>
          <w:tcPr>
            <w:tcW w:w="2071" w:type="pct"/>
            <w:tcBorders>
              <w:top w:val="nil"/>
              <w:left w:val="nil"/>
              <w:bottom w:val="nil"/>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default" w:ascii="楷体" w:hAnsi="楷体" w:eastAsia="楷体" w:cs="楷体"/>
                <w:i w:val="0"/>
                <w:iCs w:val="0"/>
                <w:color w:val="000000"/>
                <w:sz w:val="18"/>
                <w:szCs w:val="18"/>
                <w:u w:val="none"/>
                <w:lang w:val="en-US" w:eastAsia="zh-CN"/>
              </w:rPr>
              <w:t>浙江宁海农村商业银行股份有限公司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浙江义乌农村商业银行股份有限公司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浙江温州鹿城农村商业银行股份有限公司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浙江温岭农村商业银行股份有限公司</w:t>
            </w:r>
          </w:p>
        </w:tc>
        <w:tc>
          <w:tcPr>
            <w:tcW w:w="2071"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lang w:val="en-US" w:eastAsia="zh-CN"/>
              </w:rPr>
            </w:pPr>
          </w:p>
        </w:tc>
        <w:tc>
          <w:tcPr>
            <w:tcW w:w="2246"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苏州银行股份有限公司</w:t>
            </w:r>
          </w:p>
        </w:tc>
        <w:tc>
          <w:tcPr>
            <w:tcW w:w="2071"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W份额</w:t>
            </w:r>
          </w:p>
        </w:tc>
        <w:tc>
          <w:tcPr>
            <w:tcW w:w="2246" w:type="pct"/>
            <w:tcBorders>
              <w:top w:val="single" w:color="auto" w:sz="4" w:space="0"/>
              <w:left w:val="single" w:color="auto" w:sz="4" w:space="0"/>
              <w:bottom w:val="single" w:color="auto"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浙江网商银行股份有限公司</w:t>
            </w:r>
          </w:p>
        </w:tc>
        <w:tc>
          <w:tcPr>
            <w:tcW w:w="2071" w:type="pct"/>
            <w:tcBorders>
              <w:top w:val="single" w:color="auto" w:sz="4" w:space="0"/>
              <w:left w:val="nil"/>
              <w:bottom w:val="single" w:color="auto" w:sz="4" w:space="0"/>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S份额</w:t>
            </w:r>
          </w:p>
        </w:tc>
        <w:tc>
          <w:tcPr>
            <w:tcW w:w="2246" w:type="pct"/>
            <w:tcBorders>
              <w:top w:val="single" w:color="auto" w:sz="4" w:space="0"/>
              <w:left w:val="single" w:color="auto" w:sz="4" w:space="0"/>
              <w:bottom w:val="single" w:color="auto"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深圳农村商业银行股份有限公司</w:t>
            </w:r>
          </w:p>
        </w:tc>
        <w:tc>
          <w:tcPr>
            <w:tcW w:w="2071" w:type="pct"/>
            <w:tcBorders>
              <w:top w:val="single" w:color="auto" w:sz="4" w:space="0"/>
              <w:left w:val="nil"/>
              <w:bottom w:val="single" w:color="auto" w:sz="4" w:space="0"/>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苏银理财有限责任公司</w:t>
            </w:r>
          </w:p>
        </w:tc>
      </w:tr>
    </w:tbl>
    <w:p>
      <w:pPr>
        <w:numPr>
          <w:ilvl w:val="0"/>
          <w:numId w:val="3"/>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b/>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w:t>
      </w:r>
      <w:r>
        <w:rPr>
          <w:rFonts w:hint="eastAsia" w:ascii="楷体" w:hAnsi="楷体" w:eastAsia="楷体"/>
          <w:sz w:val="24"/>
          <w:szCs w:val="24"/>
          <w:lang w:val="en-US" w:eastAsia="zh-CN"/>
        </w:rPr>
        <w:t>包括</w:t>
      </w:r>
      <w:r>
        <w:rPr>
          <w:rFonts w:hint="eastAsia" w:ascii="楷体" w:hAnsi="楷体" w:eastAsia="楷体"/>
          <w:sz w:val="24"/>
          <w:szCs w:val="24"/>
        </w:rPr>
        <w:t>：</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883"/>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中粮信托有限责任公司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kern w:val="2"/>
                <w:sz w:val="20"/>
                <w:szCs w:val="18"/>
                <w:lang w:val="en-US" w:eastAsia="zh-CN" w:bidi="ar-SA"/>
              </w:rPr>
            </w:pPr>
            <w:r>
              <w:rPr>
                <w:rFonts w:hint="eastAsia" w:ascii="楷体" w:hAnsi="楷体" w:eastAsia="楷体"/>
                <w:b w:val="0"/>
                <w:bCs w:val="0"/>
                <w:sz w:val="20"/>
                <w:szCs w:val="18"/>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大家资产管理有限责任公司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18"/>
              </w:rPr>
              <w:t>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国投泰康信托有限公司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18"/>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国联证券资产管理有限公司</w:t>
            </w:r>
          </w:p>
        </w:tc>
        <w:tc>
          <w:tcPr>
            <w:tcW w:w="2920"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18"/>
              </w:rPr>
              <w:t>国联证券资产管理有限公司成立于2023年9月20日，注册资本为10亿元人民币，控股股东为国联证券股份有限公司。业务涵盖证券业务、证券财务顾问服务。。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18"/>
              </w:rPr>
            </w:pPr>
            <w:r>
              <w:rPr>
                <w:rFonts w:hint="eastAsia" w:ascii="楷体" w:hAnsi="楷体" w:eastAsia="楷体"/>
                <w:b w:val="0"/>
                <w:bCs w:val="0"/>
                <w:sz w:val="20"/>
                <w:szCs w:val="18"/>
              </w:rPr>
              <w:t>华鑫证券有限责任公司</w:t>
            </w:r>
          </w:p>
        </w:tc>
        <w:tc>
          <w:tcPr>
            <w:tcW w:w="2920" w:type="pct"/>
            <w:noWrap w:val="0"/>
            <w:vAlign w:val="top"/>
          </w:tcPr>
          <w:p>
            <w:pPr>
              <w:keepNext w:val="0"/>
              <w:keepLines w:val="0"/>
              <w:pageBreakBefore w:val="0"/>
              <w:widowControl w:val="0"/>
              <w:tabs>
                <w:tab w:val="left" w:pos="683"/>
              </w:tabs>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18"/>
                <w:lang w:eastAsia="zh-CN"/>
              </w:rPr>
            </w:pPr>
            <w:r>
              <w:rPr>
                <w:rFonts w:hint="eastAsia" w:ascii="楷体" w:hAnsi="楷体" w:eastAsia="楷体"/>
                <w:b w:val="0"/>
                <w:bCs w:val="0"/>
                <w:sz w:val="20"/>
                <w:szCs w:val="18"/>
                <w:lang w:eastAsia="zh-CN"/>
              </w:rPr>
              <w:t>华鑫证券有限责任公司是经中国证券监督管理委员会批准于2001年3月在深圳注册成立的全国性综合类证券经营机构，注册资本为36亿人民币，控股股东为上海华鑫股份有限公司，业务涵盖证券经纪、证券投资咨询、证券自营、证券资产管理等。</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参与主体用语</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cs="Calibri"/>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理财产品用语</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w:t>
      </w:r>
      <w:r>
        <w:rPr>
          <w:rFonts w:hint="eastAsia" w:ascii="楷体" w:hAnsi="楷体" w:eastAsia="楷体" w:cs="Calibri"/>
          <w:sz w:val="24"/>
          <w:szCs w:val="24"/>
          <w:lang w:eastAsia="zh-CN"/>
        </w:rPr>
        <w:t>恒源季开放12号</w:t>
      </w:r>
      <w:r>
        <w:rPr>
          <w:rFonts w:hint="eastAsia" w:ascii="楷体" w:hAnsi="楷体" w:eastAsia="楷体" w:cs="Calibri"/>
          <w:sz w:val="24"/>
          <w:szCs w:val="24"/>
        </w:rPr>
        <w:t>”理财产品。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产品资产总值</w:t>
      </w:r>
      <w:r>
        <w:rPr>
          <w:rFonts w:hint="eastAsia" w:ascii="楷体" w:hAnsi="楷体" w:eastAsia="楷体" w:cs="Calibri"/>
          <w:sz w:val="24"/>
          <w:szCs w:val="24"/>
          <w:lang w:eastAsia="zh-CN"/>
        </w:rPr>
        <w:t>：</w:t>
      </w:r>
      <w:r>
        <w:rPr>
          <w:rFonts w:hint="eastAsia" w:ascii="楷体" w:hAnsi="楷体" w:eastAsia="楷体" w:cs="Calibri"/>
          <w:sz w:val="24"/>
          <w:szCs w:val="24"/>
        </w:rPr>
        <w:t>指产品拥有的各类有价证券、银行存款、应收款项及其他资产的价值总和。</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产品负债总值</w:t>
      </w:r>
      <w:r>
        <w:rPr>
          <w:rFonts w:hint="eastAsia" w:ascii="楷体" w:hAnsi="楷体" w:eastAsia="楷体" w:cs="Calibri"/>
          <w:sz w:val="24"/>
          <w:szCs w:val="24"/>
          <w:lang w:eastAsia="zh-CN"/>
        </w:rPr>
        <w:t>：</w:t>
      </w:r>
      <w:r>
        <w:rPr>
          <w:rFonts w:hint="eastAsia" w:ascii="楷体" w:hAnsi="楷体" w:eastAsia="楷体" w:cs="Calibri"/>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cs="Calibri"/>
          <w:sz w:val="24"/>
          <w:szCs w:val="24"/>
          <w:lang w:val="en-US" w:eastAsia="zh-CN"/>
        </w:rPr>
        <w:t>份额</w:t>
      </w:r>
      <w:r>
        <w:rPr>
          <w:rFonts w:hint="eastAsia" w:ascii="楷体" w:hAnsi="楷体" w:eastAsia="楷体" w:cs="Calibri"/>
          <w:sz w:val="24"/>
          <w:szCs w:val="24"/>
        </w:rPr>
        <w:t>单位净值进行理财产品申购、赎回和终止时分配。</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7"/>
        </w:numPr>
        <w:tabs>
          <w:tab w:val="left" w:pos="851"/>
        </w:tabs>
        <w:ind w:left="0" w:firstLine="482" w:firstLineChars="200"/>
        <w:rPr>
          <w:rFonts w:hint="eastAsia" w:ascii="楷体" w:hAnsi="楷体" w:eastAsia="楷体" w:cs="Calibri"/>
          <w:b/>
          <w:sz w:val="24"/>
          <w:szCs w:val="24"/>
        </w:rPr>
      </w:pPr>
      <w:r>
        <w:rPr>
          <w:rFonts w:hint="eastAsia" w:ascii="楷体" w:hAnsi="楷体" w:eastAsia="楷体" w:cs="Calibri"/>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认购：指投资者根据理财产品说明书约定在募集期内申请购买本产品理财产品份额的行为。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7"/>
        </w:numPr>
        <w:tabs>
          <w:tab w:val="left" w:pos="851"/>
        </w:tabs>
        <w:ind w:left="0" w:firstLine="480" w:firstLineChars="200"/>
        <w:rPr>
          <w:rFonts w:hint="eastAsia" w:ascii="楷体" w:hAnsi="楷体" w:eastAsia="楷体" w:cs="Calibri"/>
          <w:sz w:val="24"/>
          <w:szCs w:val="24"/>
        </w:rPr>
      </w:pPr>
      <w:r>
        <w:rPr>
          <w:rFonts w:ascii="楷体" w:hAnsi="楷体" w:eastAsia="楷体" w:cs="Calibri"/>
          <w:sz w:val="24"/>
          <w:szCs w:val="24"/>
        </w:rPr>
        <w:t>申购、赎回申请</w:t>
      </w:r>
      <w:r>
        <w:rPr>
          <w:rFonts w:hint="eastAsia" w:ascii="楷体" w:hAnsi="楷体" w:eastAsia="楷体" w:cs="Calibri"/>
          <w:sz w:val="24"/>
          <w:szCs w:val="24"/>
        </w:rPr>
        <w:t>：</w:t>
      </w:r>
      <w:r>
        <w:rPr>
          <w:rFonts w:ascii="楷体" w:hAnsi="楷体" w:eastAsia="楷体" w:cs="Calibri"/>
          <w:sz w:val="24"/>
          <w:szCs w:val="24"/>
        </w:rPr>
        <w:t>指在</w:t>
      </w:r>
      <w:r>
        <w:rPr>
          <w:rFonts w:hint="eastAsia" w:ascii="楷体" w:hAnsi="楷体" w:eastAsia="楷体" w:cs="Calibri"/>
          <w:sz w:val="24"/>
          <w:szCs w:val="24"/>
        </w:rPr>
        <w:t>理财产品开放日</w:t>
      </w:r>
      <w:r>
        <w:rPr>
          <w:rFonts w:ascii="楷体" w:hAnsi="楷体" w:eastAsia="楷体" w:cs="Calibri"/>
          <w:sz w:val="24"/>
          <w:szCs w:val="24"/>
        </w:rPr>
        <w:t>投资者向</w:t>
      </w:r>
      <w:r>
        <w:rPr>
          <w:rFonts w:hint="eastAsia" w:ascii="楷体" w:hAnsi="楷体" w:eastAsia="楷体" w:cs="Calibri"/>
          <w:sz w:val="24"/>
          <w:szCs w:val="24"/>
        </w:rPr>
        <w:t>理财产品管理人</w:t>
      </w:r>
      <w:r>
        <w:rPr>
          <w:rFonts w:ascii="楷体" w:hAnsi="楷体" w:eastAsia="楷体" w:cs="Calibri"/>
          <w:sz w:val="24"/>
          <w:szCs w:val="24"/>
        </w:rPr>
        <w:t>提出申请对理财</w:t>
      </w:r>
      <w:r>
        <w:rPr>
          <w:rFonts w:hint="eastAsia" w:ascii="楷体" w:hAnsi="楷体" w:eastAsia="楷体" w:cs="Calibri"/>
          <w:sz w:val="24"/>
          <w:szCs w:val="24"/>
        </w:rPr>
        <w:t>产品</w:t>
      </w:r>
      <w:r>
        <w:rPr>
          <w:rFonts w:ascii="楷体" w:hAnsi="楷体" w:eastAsia="楷体" w:cs="Calibri"/>
          <w:sz w:val="24"/>
          <w:szCs w:val="24"/>
        </w:rPr>
        <w:t>份额进行购买或卖出的行为。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巨额赎回：理财产品每个开放日投资者净赎回额（赎回申请份额总数扣除申购申请份额总数）超过本理财产品上一工作日日终份额10%时，即为发生巨额赎回。</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流动性受限资产：</w:t>
      </w:r>
      <w:r>
        <w:rPr>
          <w:rFonts w:hint="eastAsia" w:ascii="楷体" w:hAnsi="楷体" w:eastAsia="楷体" w:cs="Calibri"/>
          <w:kern w:val="2"/>
          <w:sz w:val="24"/>
          <w:szCs w:val="24"/>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lang w:val="en-US" w:eastAsia="zh-CN"/>
        </w:rPr>
        <w:t>法律法规或监管机构另有规定的，从其规定。</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kern w:val="2"/>
          <w:sz w:val="24"/>
          <w:szCs w:val="24"/>
        </w:rPr>
        <w:t>7个工作日可变现资产</w:t>
      </w:r>
      <w:r>
        <w:rPr>
          <w:rFonts w:hint="eastAsia" w:ascii="楷体" w:hAnsi="楷体" w:eastAsia="楷体" w:cs="Calibri"/>
          <w:kern w:val="2"/>
          <w:sz w:val="24"/>
          <w:szCs w:val="24"/>
          <w:lang w:eastAsia="zh-CN"/>
        </w:rPr>
        <w:t>：</w:t>
      </w:r>
      <w:r>
        <w:rPr>
          <w:rFonts w:hint="eastAsia" w:ascii="楷体" w:hAnsi="楷体" w:eastAsia="楷体" w:cs="Calibri"/>
          <w:kern w:val="2"/>
          <w:sz w:val="24"/>
          <w:szCs w:val="24"/>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期间与日期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工作日：指国家法定工作日。</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指上海证券交易所和深圳证券交易所的正常开盘交易日</w:t>
      </w:r>
      <w:r>
        <w:rPr>
          <w:rFonts w:hint="eastAsia" w:ascii="楷体" w:hAnsi="楷体" w:eastAsia="楷体" w:cs="Calibri"/>
          <w:sz w:val="24"/>
          <w:szCs w:val="24"/>
        </w:rPr>
        <w:t>。</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募集期：指理财产品成立前，理财产品管理人接受理财产品认购的时间。</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开放日：指投资周期终止日。开放计划内的申购、赎回申请，将以开放日的净值进行确认。</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产品存续期：指自理财产品成立日起，至理财产品终止日的期间。</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其他</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元：指人民币元。</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10"/>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10"/>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cs="Calibri"/>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低风险</w:t>
            </w:r>
            <w:r>
              <w:rPr>
                <w:rFonts w:hint="eastAsia" w:ascii="楷体" w:hAnsi="楷体" w:eastAsia="楷体" w:cs="浠垮畫"/>
                <w:kern w:val="0"/>
                <w:sz w:val="24"/>
                <w:szCs w:val="24"/>
                <w:lang w:val="en-US" w:eastAsia="zh-CN"/>
              </w:rPr>
              <w:t>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投资管理</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hint="eastAsia"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本理财产品</w:t>
      </w:r>
      <w:r>
        <w:rPr>
          <w:rFonts w:hint="eastAsia" w:ascii="楷体" w:hAnsi="楷体" w:eastAsia="楷体"/>
          <w:sz w:val="24"/>
          <w:szCs w:val="24"/>
        </w:rPr>
        <w:t>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非标准化债权资产，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投资集中度限制</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本产品持有单只证券或者单只公募证券投资基金的市值不得超过产品净资产的</w:t>
      </w:r>
      <w:r>
        <w:rPr>
          <w:rFonts w:ascii="楷体" w:hAnsi="楷体" w:eastAsia="楷体" w:cs="Calibri"/>
          <w:sz w:val="24"/>
          <w:szCs w:val="24"/>
        </w:rPr>
        <w:t>10%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管理人全部公募产品持有单只证券或单只公募证券投资基金的市值，不得超过该证券市值或该公募证券投资基金市值的</w:t>
      </w:r>
      <w:r>
        <w:rPr>
          <w:rFonts w:ascii="楷体" w:hAnsi="楷体" w:eastAsia="楷体" w:cs="Calibri"/>
          <w:sz w:val="24"/>
          <w:szCs w:val="24"/>
        </w:rPr>
        <w:t>30%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1"/>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产品认购</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rPr>
        <w:t>认购期间：</w:t>
      </w:r>
      <w:r>
        <w:rPr>
          <w:rFonts w:hint="eastAsia" w:ascii="楷体" w:hAnsi="楷体" w:eastAsia="楷体"/>
          <w:sz w:val="24"/>
          <w:szCs w:val="24"/>
          <w:lang w:eastAsia="zh-CN"/>
        </w:rPr>
        <w:t>202</w:t>
      </w:r>
      <w:r>
        <w:rPr>
          <w:rFonts w:hint="eastAsia" w:ascii="楷体" w:hAnsi="楷体" w:eastAsia="楷体"/>
          <w:sz w:val="24"/>
          <w:szCs w:val="24"/>
          <w:lang w:val="en-US" w:eastAsia="zh-CN"/>
        </w:rPr>
        <w:t>3</w:t>
      </w:r>
      <w:r>
        <w:rPr>
          <w:rFonts w:hint="eastAsia" w:ascii="楷体" w:hAnsi="楷体" w:eastAsia="楷体"/>
          <w:sz w:val="24"/>
          <w:szCs w:val="24"/>
          <w:lang w:eastAsia="zh-CN"/>
        </w:rPr>
        <w:t>年</w:t>
      </w:r>
      <w:r>
        <w:rPr>
          <w:rFonts w:hint="eastAsia" w:ascii="楷体" w:hAnsi="楷体" w:eastAsia="楷体"/>
          <w:sz w:val="24"/>
          <w:szCs w:val="24"/>
          <w:lang w:val="en-US" w:eastAsia="zh-CN"/>
        </w:rPr>
        <w:t>11</w:t>
      </w:r>
      <w:r>
        <w:rPr>
          <w:rFonts w:hint="eastAsia" w:ascii="楷体" w:hAnsi="楷体" w:eastAsia="楷体"/>
          <w:sz w:val="24"/>
          <w:szCs w:val="24"/>
          <w:lang w:eastAsia="zh-CN"/>
        </w:rPr>
        <w:t>月</w:t>
      </w:r>
      <w:r>
        <w:rPr>
          <w:rFonts w:hint="eastAsia" w:ascii="楷体" w:hAnsi="楷体" w:eastAsia="楷体"/>
          <w:sz w:val="24"/>
          <w:szCs w:val="24"/>
          <w:lang w:val="en-US" w:eastAsia="zh-CN"/>
        </w:rPr>
        <w:t>29</w:t>
      </w:r>
      <w:r>
        <w:rPr>
          <w:rFonts w:hint="eastAsia" w:ascii="楷体" w:hAnsi="楷体" w:eastAsia="楷体"/>
          <w:sz w:val="24"/>
          <w:szCs w:val="24"/>
          <w:lang w:eastAsia="zh-CN"/>
        </w:rPr>
        <w:t>日9:00至202</w:t>
      </w:r>
      <w:r>
        <w:rPr>
          <w:rFonts w:hint="eastAsia" w:ascii="楷体" w:hAnsi="楷体" w:eastAsia="楷体"/>
          <w:sz w:val="24"/>
          <w:szCs w:val="24"/>
          <w:lang w:val="en-US" w:eastAsia="zh-CN"/>
        </w:rPr>
        <w:t>3</w:t>
      </w:r>
      <w:r>
        <w:rPr>
          <w:rFonts w:hint="eastAsia" w:ascii="楷体" w:hAnsi="楷体" w:eastAsia="楷体"/>
          <w:sz w:val="24"/>
          <w:szCs w:val="24"/>
          <w:lang w:eastAsia="zh-CN"/>
        </w:rPr>
        <w:t>年</w:t>
      </w:r>
      <w:r>
        <w:rPr>
          <w:rFonts w:hint="eastAsia" w:ascii="楷体" w:hAnsi="楷体" w:eastAsia="楷体"/>
          <w:sz w:val="24"/>
          <w:szCs w:val="24"/>
          <w:lang w:val="en-US" w:eastAsia="zh-CN"/>
        </w:rPr>
        <w:t>12</w:t>
      </w:r>
      <w:r>
        <w:rPr>
          <w:rFonts w:hint="eastAsia" w:ascii="楷体" w:hAnsi="楷体" w:eastAsia="楷体"/>
          <w:sz w:val="24"/>
          <w:szCs w:val="24"/>
          <w:lang w:eastAsia="zh-CN"/>
        </w:rPr>
        <w:t>月</w:t>
      </w:r>
      <w:r>
        <w:rPr>
          <w:rFonts w:hint="eastAsia" w:ascii="楷体" w:hAnsi="楷体" w:eastAsia="楷体"/>
          <w:sz w:val="24"/>
          <w:szCs w:val="24"/>
          <w:lang w:val="en-US" w:eastAsia="zh-CN"/>
        </w:rPr>
        <w:t>5</w:t>
      </w:r>
      <w:r>
        <w:rPr>
          <w:rFonts w:hint="eastAsia" w:ascii="楷体" w:hAnsi="楷体" w:eastAsia="楷体"/>
          <w:sz w:val="24"/>
          <w:szCs w:val="24"/>
          <w:lang w:eastAsia="zh-CN"/>
        </w:rPr>
        <w:t>日17:00</w:t>
      </w:r>
      <w:r>
        <w:rPr>
          <w:rFonts w:hint="eastAsia" w:ascii="楷体" w:hAnsi="楷体" w:eastAsia="楷体" w:cs="Calibri"/>
          <w:sz w:val="24"/>
          <w:szCs w:val="24"/>
        </w:rPr>
        <w:t>。</w:t>
      </w:r>
      <w:r>
        <w:rPr>
          <w:rFonts w:hint="eastAsia" w:ascii="楷体" w:hAnsi="楷体" w:eastAsia="楷体"/>
          <w:sz w:val="24"/>
          <w:szCs w:val="24"/>
        </w:rPr>
        <w:t>（以各销售机构设置的认购时间为准）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单笔认购起点金额、追加金额：本理财产品</w:t>
      </w:r>
      <w:r>
        <w:rPr>
          <w:rFonts w:hint="eastAsia" w:ascii="楷体" w:hAnsi="楷体" w:eastAsia="楷体" w:cs="宋体"/>
          <w:spacing w:val="-2"/>
          <w:sz w:val="24"/>
          <w:szCs w:val="24"/>
        </w:rPr>
        <w:t>A份额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元，追加金额为</w:t>
      </w:r>
      <w:r>
        <w:rPr>
          <w:rFonts w:ascii="楷体" w:hAnsi="楷体" w:eastAsia="楷体"/>
          <w:sz w:val="24"/>
          <w:szCs w:val="24"/>
        </w:rPr>
        <w:t>1</w:t>
      </w:r>
      <w:r>
        <w:rPr>
          <w:rFonts w:hint="eastAsia" w:ascii="楷体" w:hAnsi="楷体" w:eastAsia="楷体"/>
          <w:sz w:val="24"/>
          <w:szCs w:val="24"/>
        </w:rPr>
        <w:t>元的整数倍；</w:t>
      </w: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ascii="楷体" w:hAnsi="楷体" w:eastAsia="楷体" w:cs="宋体"/>
          <w:spacing w:val="-2"/>
          <w:sz w:val="24"/>
          <w:szCs w:val="24"/>
        </w:rPr>
        <w:t xml:space="preserve"> D</w:t>
      </w:r>
      <w:r>
        <w:rPr>
          <w:rFonts w:hint="eastAsia" w:ascii="楷体" w:hAnsi="楷体" w:eastAsia="楷体" w:cs="宋体"/>
          <w:spacing w:val="-2"/>
          <w:sz w:val="24"/>
          <w:szCs w:val="24"/>
        </w:rPr>
        <w:t>份额</w:t>
      </w:r>
      <w:r>
        <w:rPr>
          <w:rFonts w:hint="eastAsia" w:ascii="楷体" w:hAnsi="楷体" w:eastAsia="楷体" w:cs="宋体"/>
          <w:spacing w:val="-2"/>
          <w:sz w:val="24"/>
          <w:szCs w:val="24"/>
          <w:lang w:val="en-US" w:eastAsia="zh-CN"/>
        </w:rPr>
        <w:t>个人</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eastAsia="zh-CN"/>
        </w:rPr>
        <w:t>，</w:t>
      </w:r>
      <w:r>
        <w:rPr>
          <w:rFonts w:hint="eastAsia" w:ascii="楷体" w:hAnsi="楷体" w:eastAsia="楷体"/>
          <w:sz w:val="24"/>
          <w:szCs w:val="24"/>
          <w:lang w:val="en-US" w:eastAsia="zh-CN"/>
        </w:rPr>
        <w:t>机构</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lang w:val="en-US" w:eastAsia="zh-CN"/>
        </w:rPr>
        <w:t>00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cs="Calibri"/>
          <w:sz w:val="24"/>
          <w:szCs w:val="24"/>
          <w:lang w:val="en-US" w:eastAsia="zh-CN"/>
        </w:rPr>
        <w:t>F</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lang w:eastAsia="zh-CN"/>
        </w:rPr>
        <w:t>；</w:t>
      </w:r>
      <w:r>
        <w:rPr>
          <w:rFonts w:hint="eastAsia" w:ascii="楷体" w:hAnsi="楷体" w:eastAsia="楷体" w:cs="Calibri"/>
          <w:sz w:val="24"/>
          <w:szCs w:val="24"/>
          <w:lang w:val="en-US" w:eastAsia="zh-CN"/>
        </w:rPr>
        <w:t>G</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lang w:eastAsia="zh-CN"/>
        </w:rPr>
        <w:t>；</w:t>
      </w:r>
      <w:r>
        <w:rPr>
          <w:rFonts w:hint="eastAsia" w:ascii="楷体" w:hAnsi="楷体" w:eastAsia="楷体" w:cs="Calibri"/>
          <w:sz w:val="24"/>
          <w:szCs w:val="24"/>
          <w:lang w:val="en-US" w:eastAsia="zh-CN"/>
        </w:rPr>
        <w:t>H</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cs="Calibri"/>
          <w:sz w:val="24"/>
          <w:szCs w:val="24"/>
          <w:lang w:eastAsia="zh-CN"/>
        </w:rPr>
        <w:t>；</w:t>
      </w:r>
      <w:r>
        <w:rPr>
          <w:rFonts w:hint="eastAsia" w:ascii="楷体" w:hAnsi="楷体" w:eastAsia="楷体"/>
          <w:sz w:val="24"/>
          <w:szCs w:val="24"/>
          <w:lang w:val="en-US" w:eastAsia="zh-CN"/>
        </w:rPr>
        <w:t>W</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S</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rPr>
        <w:t>（以各销售机构设置为准）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认购申请撤销时间：认购期间，投资者可于</w:t>
      </w:r>
      <w:r>
        <w:rPr>
          <w:rFonts w:hint="eastAsia" w:ascii="楷体" w:hAnsi="楷体" w:eastAsia="楷体"/>
          <w:sz w:val="24"/>
          <w:szCs w:val="24"/>
          <w:lang w:eastAsia="zh-CN"/>
        </w:rPr>
        <w:t>202</w:t>
      </w:r>
      <w:r>
        <w:rPr>
          <w:rFonts w:hint="eastAsia" w:ascii="楷体" w:hAnsi="楷体" w:eastAsia="楷体"/>
          <w:sz w:val="24"/>
          <w:szCs w:val="24"/>
          <w:lang w:val="en-US" w:eastAsia="zh-CN"/>
        </w:rPr>
        <w:t>3</w:t>
      </w:r>
      <w:r>
        <w:rPr>
          <w:rFonts w:hint="eastAsia" w:ascii="楷体" w:hAnsi="楷体" w:eastAsia="楷体"/>
          <w:sz w:val="24"/>
          <w:szCs w:val="24"/>
          <w:lang w:eastAsia="zh-CN"/>
        </w:rPr>
        <w:t>年</w:t>
      </w:r>
      <w:r>
        <w:rPr>
          <w:rFonts w:hint="eastAsia" w:ascii="楷体" w:hAnsi="楷体" w:eastAsia="楷体"/>
          <w:sz w:val="24"/>
          <w:szCs w:val="24"/>
          <w:lang w:val="en-US" w:eastAsia="zh-CN"/>
        </w:rPr>
        <w:t>12</w:t>
      </w:r>
      <w:r>
        <w:rPr>
          <w:rFonts w:hint="eastAsia" w:ascii="楷体" w:hAnsi="楷体" w:eastAsia="楷体"/>
          <w:sz w:val="24"/>
          <w:szCs w:val="24"/>
          <w:lang w:eastAsia="zh-CN"/>
        </w:rPr>
        <w:t>月</w:t>
      </w:r>
      <w:r>
        <w:rPr>
          <w:rFonts w:hint="eastAsia" w:ascii="楷体" w:hAnsi="楷体" w:eastAsia="楷体"/>
          <w:sz w:val="24"/>
          <w:szCs w:val="24"/>
          <w:lang w:val="en-US" w:eastAsia="zh-CN"/>
        </w:rPr>
        <w:t>5</w:t>
      </w:r>
      <w:r>
        <w:rPr>
          <w:rFonts w:hint="eastAsia" w:ascii="楷体" w:hAnsi="楷体" w:eastAsia="楷体"/>
          <w:sz w:val="24"/>
          <w:szCs w:val="24"/>
          <w:lang w:eastAsia="zh-CN"/>
        </w:rPr>
        <w:t>日</w:t>
      </w:r>
      <w:r>
        <w:rPr>
          <w:rFonts w:hint="eastAsia" w:ascii="楷体" w:hAnsi="楷体" w:eastAsia="楷体"/>
          <w:sz w:val="24"/>
          <w:szCs w:val="24"/>
        </w:rPr>
        <w:t>17:00</w:t>
      </w:r>
      <w:r>
        <w:rPr>
          <w:rFonts w:hint="eastAsia" w:ascii="楷体" w:hAnsi="楷体" w:eastAsia="楷体" w:cs="Calibri"/>
          <w:sz w:val="24"/>
          <w:szCs w:val="24"/>
        </w:rPr>
        <w:t>前撤销认购申请，该时点后不得撤销。（以各销售机构设置的撤销截止时间为准）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认购资金的清算</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认购份额登记日：本理财产品于</w:t>
      </w:r>
      <w:r>
        <w:rPr>
          <w:rFonts w:hint="eastAsia" w:ascii="楷体" w:hAnsi="楷体" w:eastAsia="楷体"/>
          <w:sz w:val="24"/>
          <w:szCs w:val="24"/>
          <w:lang w:eastAsia="zh-CN"/>
        </w:rPr>
        <w:t>202</w:t>
      </w:r>
      <w:r>
        <w:rPr>
          <w:rFonts w:hint="eastAsia" w:ascii="楷体" w:hAnsi="楷体" w:eastAsia="楷体"/>
          <w:sz w:val="24"/>
          <w:szCs w:val="24"/>
          <w:lang w:val="en-US" w:eastAsia="zh-CN"/>
        </w:rPr>
        <w:t>3</w:t>
      </w:r>
      <w:r>
        <w:rPr>
          <w:rFonts w:hint="eastAsia" w:ascii="楷体" w:hAnsi="楷体" w:eastAsia="楷体"/>
          <w:sz w:val="24"/>
          <w:szCs w:val="24"/>
          <w:lang w:eastAsia="zh-CN"/>
        </w:rPr>
        <w:t>年</w:t>
      </w:r>
      <w:r>
        <w:rPr>
          <w:rFonts w:hint="eastAsia" w:ascii="楷体" w:hAnsi="楷体" w:eastAsia="楷体"/>
          <w:sz w:val="24"/>
          <w:szCs w:val="24"/>
          <w:lang w:val="en-US" w:eastAsia="zh-CN"/>
        </w:rPr>
        <w:t>12</w:t>
      </w:r>
      <w:r>
        <w:rPr>
          <w:rFonts w:hint="eastAsia" w:ascii="楷体" w:hAnsi="楷体" w:eastAsia="楷体"/>
          <w:sz w:val="24"/>
          <w:szCs w:val="24"/>
          <w:lang w:eastAsia="zh-CN"/>
        </w:rPr>
        <w:t>月</w:t>
      </w:r>
      <w:r>
        <w:rPr>
          <w:rFonts w:hint="eastAsia" w:ascii="楷体" w:hAnsi="楷体" w:eastAsia="楷体"/>
          <w:sz w:val="24"/>
          <w:szCs w:val="24"/>
          <w:lang w:val="en-US" w:eastAsia="zh-CN"/>
        </w:rPr>
        <w:t>6</w:t>
      </w:r>
      <w:r>
        <w:rPr>
          <w:rFonts w:hint="eastAsia" w:ascii="楷体" w:hAnsi="楷体" w:eastAsia="楷体"/>
          <w:sz w:val="24"/>
          <w:szCs w:val="24"/>
          <w:lang w:eastAsia="zh-CN"/>
        </w:rPr>
        <w:t>日</w:t>
      </w:r>
      <w:r>
        <w:rPr>
          <w:rFonts w:hint="eastAsia" w:ascii="楷体" w:hAnsi="楷体" w:eastAsia="楷体" w:cs="Calibri"/>
          <w:sz w:val="24"/>
          <w:szCs w:val="24"/>
        </w:rPr>
        <w:t>进行份额登记</w:t>
      </w:r>
      <w:r>
        <w:rPr>
          <w:rFonts w:hint="eastAsia" w:ascii="楷体" w:hAnsi="楷体" w:eastAsia="楷体" w:cs="Calibri"/>
          <w:sz w:val="24"/>
          <w:szCs w:val="24"/>
          <w:lang w:val="en-US" w:eastAsia="zh-CN"/>
        </w:rPr>
        <w:t>。</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产品申购、赎回</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w:t>
      </w:r>
      <w:r>
        <w:rPr>
          <w:rFonts w:hint="eastAsia" w:ascii="楷体" w:hAnsi="楷体" w:eastAsia="楷体"/>
          <w:sz w:val="24"/>
          <w:szCs w:val="24"/>
          <w:lang w:val="en-US" w:eastAsia="zh-CN"/>
        </w:rPr>
        <w:t>3</w:t>
      </w:r>
      <w:r>
        <w:rPr>
          <w:rFonts w:hint="eastAsia" w:ascii="楷体" w:hAnsi="楷体" w:eastAsia="楷体"/>
          <w:sz w:val="24"/>
          <w:szCs w:val="24"/>
          <w:lang w:eastAsia="zh-CN"/>
        </w:rPr>
        <w:t>年</w:t>
      </w:r>
      <w:r>
        <w:rPr>
          <w:rFonts w:hint="eastAsia" w:ascii="楷体" w:hAnsi="楷体" w:eastAsia="楷体"/>
          <w:sz w:val="24"/>
          <w:szCs w:val="24"/>
          <w:lang w:val="en-US" w:eastAsia="zh-CN"/>
        </w:rPr>
        <w:t>12</w:t>
      </w:r>
      <w:r>
        <w:rPr>
          <w:rFonts w:hint="eastAsia" w:ascii="楷体" w:hAnsi="楷体" w:eastAsia="楷体"/>
          <w:sz w:val="24"/>
          <w:szCs w:val="24"/>
          <w:lang w:eastAsia="zh-CN"/>
        </w:rPr>
        <w:t>月</w:t>
      </w:r>
      <w:r>
        <w:rPr>
          <w:rFonts w:hint="eastAsia" w:ascii="楷体" w:hAnsi="楷体" w:eastAsia="楷体"/>
          <w:sz w:val="24"/>
          <w:szCs w:val="24"/>
          <w:lang w:val="en-US" w:eastAsia="zh-CN"/>
        </w:rPr>
        <w:t>6</w:t>
      </w:r>
      <w:r>
        <w:rPr>
          <w:rFonts w:hint="eastAsia" w:ascii="楷体" w:hAnsi="楷体" w:eastAsia="楷体"/>
          <w:sz w:val="24"/>
          <w:szCs w:val="24"/>
          <w:lang w:eastAsia="zh-CN"/>
        </w:rPr>
        <w:t>日</w:t>
      </w:r>
      <w:r>
        <w:rPr>
          <w:rFonts w:hint="eastAsia" w:ascii="楷体" w:hAnsi="楷体" w:eastAsia="楷体"/>
          <w:sz w:val="24"/>
          <w:szCs w:val="24"/>
        </w:rPr>
        <w:t>，从成立日起，每</w:t>
      </w:r>
      <w:r>
        <w:rPr>
          <w:rFonts w:ascii="楷体" w:hAnsi="楷体" w:eastAsia="楷体"/>
          <w:sz w:val="24"/>
          <w:szCs w:val="24"/>
        </w:rPr>
        <w:t>3</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w:t>
      </w:r>
      <w:r>
        <w:rPr>
          <w:rFonts w:hint="eastAsia" w:ascii="楷体" w:hAnsi="楷体" w:eastAsia="楷体"/>
          <w:sz w:val="24"/>
          <w:szCs w:val="24"/>
          <w:lang w:val="en-US" w:eastAsia="zh-CN"/>
        </w:rPr>
        <w:t>4</w:t>
      </w:r>
      <w:r>
        <w:rPr>
          <w:rFonts w:hint="eastAsia" w:ascii="楷体" w:hAnsi="楷体" w:eastAsia="楷体"/>
          <w:sz w:val="24"/>
          <w:szCs w:val="24"/>
          <w:lang w:eastAsia="zh-CN"/>
        </w:rPr>
        <w:t>年</w:t>
      </w:r>
      <w:r>
        <w:rPr>
          <w:rFonts w:hint="eastAsia" w:ascii="楷体" w:hAnsi="楷体" w:eastAsia="楷体"/>
          <w:sz w:val="24"/>
          <w:szCs w:val="24"/>
          <w:lang w:val="en-US" w:eastAsia="zh-CN"/>
        </w:rPr>
        <w:t>3</w:t>
      </w:r>
      <w:r>
        <w:rPr>
          <w:rFonts w:hint="eastAsia" w:ascii="楷体" w:hAnsi="楷体" w:eastAsia="楷体"/>
          <w:sz w:val="24"/>
          <w:szCs w:val="24"/>
          <w:lang w:eastAsia="zh-CN"/>
        </w:rPr>
        <w:t>月</w:t>
      </w:r>
      <w:r>
        <w:rPr>
          <w:rFonts w:hint="eastAsia" w:ascii="楷体" w:hAnsi="楷体" w:eastAsia="楷体"/>
          <w:sz w:val="24"/>
          <w:szCs w:val="24"/>
          <w:lang w:val="en-US" w:eastAsia="zh-CN"/>
        </w:rPr>
        <w:t>14</w:t>
      </w:r>
      <w:r>
        <w:rPr>
          <w:rFonts w:hint="eastAsia" w:ascii="楷体" w:hAnsi="楷体" w:eastAsia="楷体"/>
          <w:sz w:val="24"/>
          <w:szCs w:val="24"/>
          <w:lang w:eastAsia="zh-CN"/>
        </w:rPr>
        <w:t>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3</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申购、赎回的规则</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申购、赎回的原则：本产品采用金额申购、份额赎回的原则，即申购以金额申请，赎回以份额申请。</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申购、赎回的时间：投资者可在开放计划约定的时间内提交申购/赎回申请</w:t>
      </w:r>
      <w:r>
        <w:rPr>
          <w:rFonts w:hint="eastAsia" w:ascii="楷体" w:hAnsi="楷体" w:eastAsia="楷体"/>
          <w:sz w:val="24"/>
          <w:szCs w:val="24"/>
        </w:rPr>
        <w:t>（以各销售机构设置的开放时间为准）</w:t>
      </w:r>
      <w:r>
        <w:rPr>
          <w:rFonts w:hint="eastAsia" w:ascii="楷体" w:hAnsi="楷体" w:eastAsia="楷体" w:cs="Calibri"/>
          <w:sz w:val="24"/>
          <w:szCs w:val="24"/>
        </w:rPr>
        <w:t>。本产品首个投资周期及开放计划详见下表，后续投资周期及开放计划受资产运作情况、节假日安排等要素限制，管理人将在每个投资周期结束前通过本理财产品说明书约定的方式披露下一周期开放计划。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4"/>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38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投资周期</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投资周期起始日</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投资周期终止日</w:t>
            </w:r>
          </w:p>
        </w:tc>
        <w:tc>
          <w:tcPr>
            <w:tcW w:w="2381" w:type="dxa"/>
            <w:noWrap w:val="0"/>
            <w:vAlign w:val="center"/>
          </w:tcPr>
          <w:p>
            <w:pPr>
              <w:jc w:val="center"/>
              <w:rPr>
                <w:rFonts w:ascii="楷体" w:hAnsi="楷体" w:eastAsia="楷体"/>
                <w:szCs w:val="21"/>
              </w:rPr>
            </w:pPr>
            <w:r>
              <w:rPr>
                <w:rFonts w:hint="eastAsia" w:ascii="楷体" w:hAnsi="楷体" w:eastAsia="楷体"/>
                <w:szCs w:val="21"/>
              </w:rPr>
              <w:t>开放计划</w:t>
            </w:r>
          </w:p>
          <w:p>
            <w:pPr>
              <w:jc w:val="center"/>
              <w:rPr>
                <w:rFonts w:ascii="楷体" w:hAnsi="楷体" w:eastAsia="楷体"/>
                <w:szCs w:val="21"/>
              </w:rPr>
            </w:pPr>
            <w:r>
              <w:rPr>
                <w:rFonts w:hint="eastAsia" w:ascii="楷体" w:hAnsi="楷体" w:eastAsia="楷体"/>
                <w:szCs w:val="21"/>
              </w:rPr>
              <w:t>（申购/赎回时间）</w:t>
            </w:r>
          </w:p>
        </w:tc>
        <w:tc>
          <w:tcPr>
            <w:tcW w:w="1871" w:type="dxa"/>
            <w:noWrap w:val="0"/>
            <w:vAlign w:val="center"/>
          </w:tcPr>
          <w:p>
            <w:pPr>
              <w:jc w:val="center"/>
              <w:rPr>
                <w:rFonts w:ascii="楷体" w:hAnsi="楷体" w:eastAsia="楷体"/>
                <w:szCs w:val="21"/>
              </w:rPr>
            </w:pPr>
            <w:r>
              <w:rPr>
                <w:rFonts w:hint="eastAsia" w:ascii="楷体" w:hAnsi="楷体" w:eastAsia="楷体"/>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rPr>
            </w:pPr>
            <w:r>
              <w:rPr>
                <w:rFonts w:hint="eastAsia" w:ascii="楷体" w:hAnsi="楷体" w:eastAsia="楷体"/>
                <w:szCs w:val="21"/>
              </w:rPr>
              <w:t>1</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3</w:t>
            </w:r>
            <w:r>
              <w:rPr>
                <w:rFonts w:hint="eastAsia" w:ascii="楷体" w:hAnsi="楷体" w:eastAsia="楷体"/>
                <w:szCs w:val="21"/>
                <w:lang w:eastAsia="zh-CN"/>
              </w:rPr>
              <w:t>年</w:t>
            </w:r>
            <w:r>
              <w:rPr>
                <w:rFonts w:hint="eastAsia" w:ascii="楷体" w:hAnsi="楷体" w:eastAsia="楷体"/>
                <w:szCs w:val="21"/>
                <w:lang w:val="en-US" w:eastAsia="zh-CN"/>
              </w:rPr>
              <w:t>12</w:t>
            </w:r>
            <w:r>
              <w:rPr>
                <w:rFonts w:hint="eastAsia" w:ascii="楷体" w:hAnsi="楷体" w:eastAsia="楷体"/>
                <w:szCs w:val="21"/>
                <w:lang w:eastAsia="zh-CN"/>
              </w:rPr>
              <w:t>月</w:t>
            </w:r>
            <w:r>
              <w:rPr>
                <w:rFonts w:hint="eastAsia" w:ascii="楷体" w:hAnsi="楷体" w:eastAsia="楷体"/>
                <w:szCs w:val="21"/>
                <w:lang w:val="en-US" w:eastAsia="zh-CN"/>
              </w:rPr>
              <w:t>6</w:t>
            </w:r>
            <w:r>
              <w:rPr>
                <w:rFonts w:hint="eastAsia" w:ascii="楷体" w:hAnsi="楷体" w:eastAsia="楷体"/>
                <w:szCs w:val="21"/>
                <w:lang w:eastAsia="zh-CN"/>
              </w:rPr>
              <w:t>日</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3</w:t>
            </w:r>
            <w:r>
              <w:rPr>
                <w:rFonts w:hint="eastAsia" w:ascii="楷体" w:hAnsi="楷体" w:eastAsia="楷体"/>
                <w:szCs w:val="21"/>
                <w:lang w:eastAsia="zh-CN"/>
              </w:rPr>
              <w:t>月</w:t>
            </w:r>
            <w:r>
              <w:rPr>
                <w:rFonts w:hint="eastAsia" w:ascii="楷体" w:hAnsi="楷体" w:eastAsia="楷体"/>
                <w:szCs w:val="21"/>
                <w:lang w:val="en-US" w:eastAsia="zh-CN"/>
              </w:rPr>
              <w:t>14</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3</w:t>
            </w:r>
            <w:r>
              <w:rPr>
                <w:rFonts w:hint="eastAsia" w:ascii="楷体" w:hAnsi="楷体" w:eastAsia="楷体"/>
                <w:szCs w:val="21"/>
                <w:lang w:eastAsia="zh-CN"/>
              </w:rPr>
              <w:t>月</w:t>
            </w:r>
            <w:r>
              <w:rPr>
                <w:rFonts w:hint="eastAsia" w:ascii="楷体" w:hAnsi="楷体" w:eastAsia="楷体"/>
                <w:szCs w:val="21"/>
                <w:lang w:val="en-US" w:eastAsia="zh-CN"/>
              </w:rPr>
              <w:t>8</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3</w:t>
            </w:r>
            <w:r>
              <w:rPr>
                <w:rFonts w:hint="eastAsia" w:ascii="楷体" w:hAnsi="楷体" w:eastAsia="楷体"/>
                <w:szCs w:val="21"/>
                <w:lang w:eastAsia="zh-CN"/>
              </w:rPr>
              <w:t>月</w:t>
            </w:r>
            <w:r>
              <w:rPr>
                <w:rFonts w:hint="eastAsia" w:ascii="楷体" w:hAnsi="楷体" w:eastAsia="楷体"/>
                <w:szCs w:val="21"/>
                <w:lang w:val="en-US" w:eastAsia="zh-CN"/>
              </w:rPr>
              <w:t>14</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3</w:t>
            </w:r>
            <w:r>
              <w:rPr>
                <w:rFonts w:hint="eastAsia" w:ascii="楷体" w:hAnsi="楷体" w:eastAsia="楷体"/>
                <w:szCs w:val="21"/>
                <w:lang w:eastAsia="zh-CN"/>
              </w:rPr>
              <w:t>月</w:t>
            </w:r>
            <w:r>
              <w:rPr>
                <w:rFonts w:hint="eastAsia" w:ascii="楷体" w:hAnsi="楷体" w:eastAsia="楷体"/>
                <w:szCs w:val="21"/>
                <w:lang w:val="en-US" w:eastAsia="zh-CN"/>
              </w:rPr>
              <w:t>15</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2</w:t>
            </w:r>
          </w:p>
        </w:tc>
        <w:tc>
          <w:tcPr>
            <w:tcW w:w="1871" w:type="dxa"/>
            <w:noWrap w:val="0"/>
            <w:vAlign w:val="center"/>
          </w:tcPr>
          <w:p>
            <w:pPr>
              <w:jc w:val="center"/>
              <w:rPr>
                <w:rFonts w:hint="eastAsia"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3</w:t>
            </w:r>
            <w:r>
              <w:rPr>
                <w:rFonts w:hint="eastAsia" w:ascii="楷体" w:hAnsi="楷体" w:eastAsia="楷体"/>
                <w:szCs w:val="21"/>
                <w:lang w:eastAsia="zh-CN"/>
              </w:rPr>
              <w:t>月</w:t>
            </w:r>
            <w:r>
              <w:rPr>
                <w:rFonts w:hint="eastAsia" w:ascii="楷体" w:hAnsi="楷体" w:eastAsia="楷体"/>
                <w:szCs w:val="21"/>
                <w:lang w:val="en-US" w:eastAsia="zh-CN"/>
              </w:rPr>
              <w:t>15</w:t>
            </w:r>
            <w:r>
              <w:rPr>
                <w:rFonts w:hint="eastAsia" w:ascii="楷体" w:hAnsi="楷体" w:eastAsia="楷体"/>
                <w:szCs w:val="21"/>
                <w:lang w:eastAsia="zh-CN"/>
              </w:rPr>
              <w:t>日</w:t>
            </w:r>
          </w:p>
        </w:tc>
        <w:tc>
          <w:tcPr>
            <w:tcW w:w="1871" w:type="dxa"/>
            <w:noWrap w:val="0"/>
            <w:vAlign w:val="center"/>
          </w:tcPr>
          <w:p>
            <w:pPr>
              <w:jc w:val="center"/>
              <w:rPr>
                <w:rFonts w:hint="default"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6</w:t>
            </w:r>
            <w:r>
              <w:rPr>
                <w:rFonts w:hint="eastAsia" w:ascii="楷体" w:hAnsi="楷体" w:eastAsia="楷体"/>
                <w:szCs w:val="21"/>
                <w:lang w:eastAsia="zh-CN"/>
              </w:rPr>
              <w:t>月</w:t>
            </w:r>
            <w:r>
              <w:rPr>
                <w:rFonts w:hint="eastAsia" w:ascii="楷体" w:hAnsi="楷体" w:eastAsia="楷体"/>
                <w:szCs w:val="21"/>
                <w:lang w:val="en-US" w:eastAsia="zh-CN"/>
              </w:rPr>
              <w:t>26</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6</w:t>
            </w:r>
            <w:r>
              <w:rPr>
                <w:rFonts w:hint="eastAsia" w:ascii="楷体" w:hAnsi="楷体" w:eastAsia="楷体"/>
                <w:szCs w:val="21"/>
                <w:lang w:eastAsia="zh-CN"/>
              </w:rPr>
              <w:t>月</w:t>
            </w:r>
            <w:r>
              <w:rPr>
                <w:rFonts w:hint="eastAsia" w:ascii="楷体" w:hAnsi="楷体" w:eastAsia="楷体"/>
                <w:szCs w:val="21"/>
                <w:lang w:val="en-US" w:eastAsia="zh-CN"/>
              </w:rPr>
              <w:t>18</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default"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6</w:t>
            </w:r>
            <w:r>
              <w:rPr>
                <w:rFonts w:hint="eastAsia" w:ascii="楷体" w:hAnsi="楷体" w:eastAsia="楷体"/>
                <w:szCs w:val="21"/>
                <w:lang w:eastAsia="zh-CN"/>
              </w:rPr>
              <w:t>月</w:t>
            </w:r>
            <w:r>
              <w:rPr>
                <w:rFonts w:hint="eastAsia" w:ascii="楷体" w:hAnsi="楷体" w:eastAsia="楷体"/>
                <w:szCs w:val="21"/>
                <w:lang w:val="en-US" w:eastAsia="zh-CN"/>
              </w:rPr>
              <w:t>26</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default"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6</w:t>
            </w:r>
            <w:r>
              <w:rPr>
                <w:rFonts w:hint="eastAsia" w:ascii="楷体" w:hAnsi="楷体" w:eastAsia="楷体"/>
                <w:szCs w:val="21"/>
                <w:lang w:eastAsia="zh-CN"/>
              </w:rPr>
              <w:t>月</w:t>
            </w:r>
            <w:r>
              <w:rPr>
                <w:rFonts w:hint="eastAsia" w:ascii="楷体" w:hAnsi="楷体" w:eastAsia="楷体"/>
                <w:szCs w:val="21"/>
                <w:lang w:val="en-US" w:eastAsia="zh-CN"/>
              </w:rPr>
              <w:t>27</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3</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 w:val="21"/>
                <w:szCs w:val="21"/>
                <w:lang w:val="en-US" w:eastAsia="zh-CN"/>
              </w:rPr>
              <w:t>2024年6月27日</w:t>
            </w:r>
          </w:p>
        </w:tc>
        <w:tc>
          <w:tcPr>
            <w:tcW w:w="1871" w:type="dxa"/>
            <w:noWrap w:val="0"/>
            <w:vAlign w:val="center"/>
          </w:tcPr>
          <w:p>
            <w:pPr>
              <w:jc w:val="center"/>
              <w:rPr>
                <w:rFonts w:hint="default" w:ascii="楷体" w:hAnsi="Times New Roman" w:eastAsia="楷体" w:cs="楷体"/>
                <w:color w:val="000000"/>
                <w:kern w:val="0"/>
                <w:szCs w:val="21"/>
                <w:lang w:val="en-US" w:eastAsia="zh-CN"/>
              </w:rPr>
            </w:pPr>
            <w:r>
              <w:rPr>
                <w:rFonts w:hint="eastAsia" w:ascii="楷体" w:hAnsi="楷体" w:eastAsia="楷体"/>
                <w:sz w:val="21"/>
                <w:szCs w:val="21"/>
                <w:lang w:val="en-US" w:eastAsia="zh-CN"/>
              </w:rPr>
              <w:t>2024年9月26日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9</w:t>
            </w:r>
            <w:r>
              <w:rPr>
                <w:rFonts w:hint="eastAsia" w:ascii="楷体" w:hAnsi="楷体" w:eastAsia="楷体"/>
                <w:szCs w:val="21"/>
                <w:lang w:eastAsia="zh-CN"/>
              </w:rPr>
              <w:t>月</w:t>
            </w:r>
            <w:r>
              <w:rPr>
                <w:rFonts w:hint="eastAsia" w:ascii="楷体" w:hAnsi="楷体" w:eastAsia="楷体"/>
                <w:szCs w:val="21"/>
                <w:lang w:val="en-US" w:eastAsia="zh-CN"/>
              </w:rPr>
              <w:t>18</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default"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9</w:t>
            </w:r>
            <w:r>
              <w:rPr>
                <w:rFonts w:hint="eastAsia" w:ascii="楷体" w:hAnsi="楷体" w:eastAsia="楷体"/>
                <w:szCs w:val="21"/>
                <w:lang w:eastAsia="zh-CN"/>
              </w:rPr>
              <w:t>月</w:t>
            </w:r>
            <w:r>
              <w:rPr>
                <w:rFonts w:hint="eastAsia" w:ascii="楷体" w:hAnsi="楷体" w:eastAsia="楷体"/>
                <w:szCs w:val="21"/>
                <w:lang w:val="en-US" w:eastAsia="zh-CN"/>
              </w:rPr>
              <w:t>26</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default" w:ascii="楷体" w:hAnsi="Times New Roman" w:eastAsia="楷体" w:cs="楷体"/>
                <w:color w:val="000000"/>
                <w:kern w:val="0"/>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9</w:t>
            </w:r>
            <w:r>
              <w:rPr>
                <w:rFonts w:hint="eastAsia" w:ascii="楷体" w:hAnsi="楷体" w:eastAsia="楷体"/>
                <w:szCs w:val="21"/>
                <w:lang w:eastAsia="zh-CN"/>
              </w:rPr>
              <w:t>月</w:t>
            </w:r>
            <w:r>
              <w:rPr>
                <w:rFonts w:hint="eastAsia" w:ascii="楷体" w:hAnsi="楷体" w:eastAsia="楷体"/>
                <w:szCs w:val="21"/>
                <w:lang w:val="en-US" w:eastAsia="zh-CN"/>
              </w:rPr>
              <w:t>27</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4</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9</w:t>
            </w:r>
            <w:r>
              <w:rPr>
                <w:rFonts w:hint="eastAsia" w:ascii="楷体" w:hAnsi="楷体" w:eastAsia="楷体"/>
                <w:szCs w:val="21"/>
                <w:lang w:eastAsia="zh-CN"/>
              </w:rPr>
              <w:t>月</w:t>
            </w:r>
            <w:r>
              <w:rPr>
                <w:rFonts w:hint="eastAsia" w:ascii="楷体" w:hAnsi="楷体" w:eastAsia="楷体"/>
                <w:szCs w:val="21"/>
                <w:lang w:val="en-US" w:eastAsia="zh-CN"/>
              </w:rPr>
              <w:t>27</w:t>
            </w:r>
            <w:r>
              <w:rPr>
                <w:rFonts w:hint="eastAsia" w:ascii="楷体" w:hAnsi="楷体" w:eastAsia="楷体"/>
                <w:szCs w:val="21"/>
                <w:lang w:eastAsia="zh-CN"/>
              </w:rPr>
              <w:t>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w:t>
            </w:r>
            <w:r>
              <w:rPr>
                <w:rFonts w:hint="eastAsia" w:ascii="楷体" w:hAnsi="楷体" w:eastAsia="楷体"/>
                <w:szCs w:val="21"/>
                <w:lang w:eastAsia="zh-CN"/>
              </w:rPr>
              <w:t>月</w:t>
            </w:r>
            <w:r>
              <w:rPr>
                <w:rFonts w:hint="eastAsia" w:ascii="楷体" w:hAnsi="楷体" w:eastAsia="楷体"/>
                <w:szCs w:val="21"/>
                <w:lang w:val="en-US" w:eastAsia="zh-CN"/>
              </w:rPr>
              <w:t>9</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4</w:t>
            </w:r>
            <w:r>
              <w:rPr>
                <w:rFonts w:hint="eastAsia" w:ascii="楷体" w:hAnsi="楷体" w:eastAsia="楷体"/>
                <w:szCs w:val="21"/>
                <w:lang w:eastAsia="zh-CN"/>
              </w:rPr>
              <w:t>年</w:t>
            </w:r>
            <w:r>
              <w:rPr>
                <w:rFonts w:hint="eastAsia" w:ascii="楷体" w:hAnsi="楷体" w:eastAsia="楷体"/>
                <w:szCs w:val="21"/>
                <w:lang w:val="en-US" w:eastAsia="zh-CN"/>
              </w:rPr>
              <w:t>12</w:t>
            </w:r>
            <w:r>
              <w:rPr>
                <w:rFonts w:hint="eastAsia" w:ascii="楷体" w:hAnsi="楷体" w:eastAsia="楷体"/>
                <w:szCs w:val="21"/>
                <w:lang w:eastAsia="zh-CN"/>
              </w:rPr>
              <w:t>月</w:t>
            </w:r>
            <w:r>
              <w:rPr>
                <w:rFonts w:hint="eastAsia" w:ascii="楷体" w:hAnsi="楷体" w:eastAsia="楷体"/>
                <w:szCs w:val="21"/>
                <w:lang w:val="en-US" w:eastAsia="zh-CN"/>
              </w:rPr>
              <w:t>31</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w:t>
            </w:r>
            <w:r>
              <w:rPr>
                <w:rFonts w:hint="eastAsia" w:ascii="楷体" w:hAnsi="楷体" w:eastAsia="楷体"/>
                <w:szCs w:val="21"/>
                <w:lang w:eastAsia="zh-CN"/>
              </w:rPr>
              <w:t>月</w:t>
            </w:r>
            <w:r>
              <w:rPr>
                <w:rFonts w:hint="eastAsia" w:ascii="楷体" w:hAnsi="楷体" w:eastAsia="楷体"/>
                <w:szCs w:val="21"/>
                <w:lang w:val="en-US" w:eastAsia="zh-CN"/>
              </w:rPr>
              <w:t>9</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w:t>
            </w:r>
            <w:r>
              <w:rPr>
                <w:rFonts w:hint="eastAsia" w:ascii="楷体" w:hAnsi="楷体" w:eastAsia="楷体"/>
                <w:szCs w:val="21"/>
                <w:lang w:eastAsia="zh-CN"/>
              </w:rPr>
              <w:t>月</w:t>
            </w:r>
            <w:r>
              <w:rPr>
                <w:rFonts w:hint="eastAsia" w:ascii="楷体" w:hAnsi="楷体" w:eastAsia="楷体"/>
                <w:szCs w:val="21"/>
                <w:lang w:val="en-US" w:eastAsia="zh-CN"/>
              </w:rPr>
              <w:t>10</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w:t>
            </w:r>
            <w:r>
              <w:rPr>
                <w:rFonts w:hint="eastAsia" w:ascii="楷体" w:hAnsi="楷体" w:eastAsia="楷体"/>
                <w:szCs w:val="21"/>
                <w:lang w:eastAsia="zh-CN"/>
              </w:rPr>
              <w:t>月</w:t>
            </w:r>
            <w:r>
              <w:rPr>
                <w:rFonts w:hint="eastAsia" w:ascii="楷体" w:hAnsi="楷体" w:eastAsia="楷体"/>
                <w:szCs w:val="21"/>
                <w:lang w:val="en-US" w:eastAsia="zh-CN"/>
              </w:rPr>
              <w:t>10</w:t>
            </w:r>
            <w:r>
              <w:rPr>
                <w:rFonts w:hint="eastAsia" w:ascii="楷体" w:hAnsi="楷体" w:eastAsia="楷体"/>
                <w:szCs w:val="21"/>
                <w:lang w:eastAsia="zh-CN"/>
              </w:rPr>
              <w:t>日</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4</w:t>
            </w:r>
            <w:r>
              <w:rPr>
                <w:rFonts w:hint="eastAsia" w:ascii="楷体" w:hAnsi="楷体" w:eastAsia="楷体"/>
                <w:szCs w:val="21"/>
                <w:lang w:eastAsia="zh-CN"/>
              </w:rPr>
              <w:t>月</w:t>
            </w:r>
            <w:r>
              <w:rPr>
                <w:rFonts w:hint="eastAsia" w:ascii="楷体" w:hAnsi="楷体" w:eastAsia="楷体"/>
                <w:szCs w:val="21"/>
                <w:lang w:val="en-US" w:eastAsia="zh-CN"/>
              </w:rPr>
              <w:t>16</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2025年4月8</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Cs w:val="21"/>
                <w:lang w:eastAsia="zh-CN"/>
              </w:rPr>
            </w:pPr>
            <w:r>
              <w:rPr>
                <w:rFonts w:hint="eastAsia" w:ascii="楷体" w:hAnsi="楷体" w:eastAsia="楷体"/>
                <w:sz w:val="21"/>
                <w:szCs w:val="21"/>
                <w:lang w:val="en-US" w:eastAsia="zh-CN"/>
              </w:rPr>
              <w:t>2025年4月16</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4</w:t>
            </w:r>
            <w:r>
              <w:rPr>
                <w:rFonts w:hint="eastAsia" w:ascii="楷体" w:hAnsi="楷体" w:eastAsia="楷体"/>
                <w:szCs w:val="21"/>
                <w:lang w:eastAsia="zh-CN"/>
              </w:rPr>
              <w:t>月</w:t>
            </w:r>
            <w:r>
              <w:rPr>
                <w:rFonts w:hint="eastAsia" w:ascii="楷体" w:hAnsi="楷体" w:eastAsia="楷体"/>
                <w:szCs w:val="21"/>
                <w:lang w:val="en-US" w:eastAsia="zh-CN"/>
              </w:rPr>
              <w:t>17</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6</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4</w:t>
            </w:r>
            <w:r>
              <w:rPr>
                <w:rFonts w:hint="eastAsia" w:ascii="楷体" w:hAnsi="楷体" w:eastAsia="楷体"/>
                <w:szCs w:val="21"/>
                <w:lang w:eastAsia="zh-CN"/>
              </w:rPr>
              <w:t>月</w:t>
            </w:r>
            <w:r>
              <w:rPr>
                <w:rFonts w:hint="eastAsia" w:ascii="楷体" w:hAnsi="楷体" w:eastAsia="楷体"/>
                <w:szCs w:val="21"/>
                <w:lang w:val="en-US" w:eastAsia="zh-CN"/>
              </w:rPr>
              <w:t>17</w:t>
            </w:r>
            <w:r>
              <w:rPr>
                <w:rFonts w:hint="eastAsia" w:ascii="楷体" w:hAnsi="楷体" w:eastAsia="楷体"/>
                <w:szCs w:val="21"/>
                <w:lang w:eastAsia="zh-CN"/>
              </w:rPr>
              <w:t>日</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23</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15</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 w:val="21"/>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23</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24</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7</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7</w:t>
            </w:r>
            <w:r>
              <w:rPr>
                <w:rFonts w:hint="eastAsia" w:ascii="楷体" w:hAnsi="楷体" w:eastAsia="楷体"/>
                <w:szCs w:val="21"/>
                <w:lang w:eastAsia="zh-CN"/>
              </w:rPr>
              <w:t>月</w:t>
            </w:r>
            <w:r>
              <w:rPr>
                <w:rFonts w:hint="eastAsia" w:ascii="楷体" w:hAnsi="楷体" w:eastAsia="楷体"/>
                <w:szCs w:val="21"/>
                <w:lang w:val="en-US" w:eastAsia="zh-CN"/>
              </w:rPr>
              <w:t>24</w:t>
            </w:r>
            <w:r>
              <w:rPr>
                <w:rFonts w:hint="eastAsia" w:ascii="楷体" w:hAnsi="楷体" w:eastAsia="楷体"/>
                <w:szCs w:val="21"/>
                <w:lang w:eastAsia="zh-CN"/>
              </w:rPr>
              <w:t>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10</w:t>
            </w:r>
            <w:r>
              <w:rPr>
                <w:rFonts w:hint="eastAsia" w:ascii="楷体" w:hAnsi="楷体" w:eastAsia="楷体"/>
                <w:szCs w:val="21"/>
                <w:lang w:eastAsia="zh-CN"/>
              </w:rPr>
              <w:t>月</w:t>
            </w:r>
            <w:r>
              <w:rPr>
                <w:rFonts w:hint="eastAsia" w:ascii="楷体" w:hAnsi="楷体" w:eastAsia="楷体"/>
                <w:szCs w:val="21"/>
                <w:lang w:val="en-US" w:eastAsia="zh-CN"/>
              </w:rPr>
              <w:t>29</w:t>
            </w:r>
            <w:r>
              <w:rPr>
                <w:rFonts w:hint="eastAsia" w:ascii="楷体" w:hAnsi="楷体" w:eastAsia="楷体"/>
                <w:szCs w:val="21"/>
                <w:lang w:eastAsia="zh-CN"/>
              </w:rPr>
              <w:t>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10</w:t>
            </w:r>
            <w:r>
              <w:rPr>
                <w:rFonts w:hint="eastAsia" w:ascii="楷体" w:hAnsi="楷体" w:eastAsia="楷体"/>
                <w:szCs w:val="21"/>
                <w:lang w:eastAsia="zh-CN"/>
              </w:rPr>
              <w:t>月</w:t>
            </w:r>
            <w:r>
              <w:rPr>
                <w:rFonts w:hint="eastAsia" w:ascii="楷体" w:hAnsi="楷体" w:eastAsia="楷体"/>
                <w:szCs w:val="21"/>
                <w:lang w:val="en-US" w:eastAsia="zh-CN"/>
              </w:rPr>
              <w:t>21</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10</w:t>
            </w:r>
            <w:r>
              <w:rPr>
                <w:rFonts w:hint="eastAsia" w:ascii="楷体" w:hAnsi="楷体" w:eastAsia="楷体"/>
                <w:szCs w:val="21"/>
                <w:lang w:eastAsia="zh-CN"/>
              </w:rPr>
              <w:t>月</w:t>
            </w:r>
            <w:r>
              <w:rPr>
                <w:rFonts w:hint="eastAsia" w:ascii="楷体" w:hAnsi="楷体" w:eastAsia="楷体"/>
                <w:szCs w:val="21"/>
                <w:lang w:val="en-US" w:eastAsia="zh-CN"/>
              </w:rPr>
              <w:t>29</w:t>
            </w:r>
            <w:r>
              <w:rPr>
                <w:rFonts w:hint="eastAsia" w:ascii="楷体" w:hAnsi="楷体" w:eastAsia="楷体"/>
                <w:szCs w:val="21"/>
                <w:lang w:eastAsia="zh-CN"/>
              </w:rPr>
              <w:t>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lang w:eastAsia="zh-CN"/>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10</w:t>
            </w:r>
            <w:r>
              <w:rPr>
                <w:rFonts w:hint="eastAsia" w:ascii="楷体" w:hAnsi="楷体" w:eastAsia="楷体"/>
                <w:szCs w:val="21"/>
                <w:lang w:eastAsia="zh-CN"/>
              </w:rPr>
              <w:t>月</w:t>
            </w:r>
            <w:r>
              <w:rPr>
                <w:rFonts w:hint="eastAsia" w:ascii="楷体" w:hAnsi="楷体" w:eastAsia="楷体"/>
                <w:szCs w:val="21"/>
                <w:lang w:val="en-US" w:eastAsia="zh-CN"/>
              </w:rPr>
              <w:t>30</w:t>
            </w:r>
            <w:r>
              <w:rPr>
                <w:rFonts w:hint="eastAsia" w:ascii="楷体" w:hAnsi="楷体" w:eastAsia="楷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8</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eastAsia="zh-CN"/>
              </w:rPr>
              <w:t>202</w:t>
            </w:r>
            <w:r>
              <w:rPr>
                <w:rFonts w:hint="eastAsia" w:ascii="楷体" w:hAnsi="楷体" w:eastAsia="楷体"/>
                <w:szCs w:val="21"/>
                <w:lang w:val="en-US" w:eastAsia="zh-CN"/>
              </w:rPr>
              <w:t>5</w:t>
            </w:r>
            <w:r>
              <w:rPr>
                <w:rFonts w:hint="eastAsia" w:ascii="楷体" w:hAnsi="楷体" w:eastAsia="楷体"/>
                <w:szCs w:val="21"/>
                <w:lang w:eastAsia="zh-CN"/>
              </w:rPr>
              <w:t>年</w:t>
            </w:r>
            <w:r>
              <w:rPr>
                <w:rFonts w:hint="eastAsia" w:ascii="楷体" w:hAnsi="楷体" w:eastAsia="楷体"/>
                <w:szCs w:val="21"/>
                <w:lang w:val="en-US" w:eastAsia="zh-CN"/>
              </w:rPr>
              <w:t>10</w:t>
            </w:r>
            <w:r>
              <w:rPr>
                <w:rFonts w:hint="eastAsia" w:ascii="楷体" w:hAnsi="楷体" w:eastAsia="楷体"/>
                <w:szCs w:val="21"/>
                <w:lang w:eastAsia="zh-CN"/>
              </w:rPr>
              <w:t>月</w:t>
            </w:r>
            <w:r>
              <w:rPr>
                <w:rFonts w:hint="eastAsia" w:ascii="楷体" w:hAnsi="楷体" w:eastAsia="楷体"/>
                <w:szCs w:val="21"/>
                <w:lang w:val="en-US" w:eastAsia="zh-CN"/>
              </w:rPr>
              <w:t>30</w:t>
            </w:r>
            <w:r>
              <w:rPr>
                <w:rFonts w:hint="eastAsia" w:ascii="楷体" w:hAnsi="楷体" w:eastAsia="楷体"/>
                <w:szCs w:val="21"/>
                <w:lang w:eastAsia="zh-CN"/>
              </w:rPr>
              <w:t>日</w:t>
            </w:r>
          </w:p>
        </w:tc>
        <w:tc>
          <w:tcPr>
            <w:tcW w:w="1871" w:type="dxa"/>
            <w:noWrap w:val="0"/>
            <w:vAlign w:val="center"/>
          </w:tcPr>
          <w:p>
            <w:pPr>
              <w:jc w:val="center"/>
              <w:rPr>
                <w:rFonts w:hint="eastAsia" w:ascii="楷体" w:hAnsi="Times New Roman" w:eastAsia="楷体" w:cs="楷体"/>
                <w:color w:val="000000"/>
                <w:kern w:val="0"/>
                <w:szCs w:val="21"/>
                <w:lang w:val="en-US" w:eastAsia="zh-CN"/>
              </w:rPr>
            </w:pPr>
            <w:r>
              <w:rPr>
                <w:rFonts w:hint="eastAsia" w:ascii="楷体" w:hAnsi="Times New Roman" w:eastAsia="楷体" w:cs="楷体"/>
                <w:color w:val="000000"/>
                <w:kern w:val="0"/>
                <w:szCs w:val="21"/>
                <w:lang w:val="en-US" w:eastAsia="zh-CN"/>
              </w:rPr>
              <w:t>-</w:t>
            </w:r>
          </w:p>
        </w:tc>
        <w:tc>
          <w:tcPr>
            <w:tcW w:w="2381" w:type="dxa"/>
            <w:noWrap w:val="0"/>
            <w:vAlign w:val="center"/>
          </w:tcPr>
          <w:p>
            <w:pPr>
              <w:jc w:val="center"/>
              <w:rPr>
                <w:rFonts w:hint="eastAsia" w:ascii="楷体" w:hAnsi="Times New Roman" w:eastAsia="楷体" w:cs="楷体"/>
                <w:color w:val="000000"/>
                <w:kern w:val="0"/>
                <w:szCs w:val="21"/>
                <w:lang w:val="en-US" w:eastAsia="zh-CN"/>
              </w:rPr>
            </w:pPr>
            <w:r>
              <w:rPr>
                <w:rFonts w:hint="eastAsia" w:ascii="楷体" w:hAnsi="Times New Roman" w:eastAsia="楷体" w:cs="楷体"/>
                <w:color w:val="000000"/>
                <w:kern w:val="0"/>
                <w:szCs w:val="21"/>
                <w:lang w:val="en-US" w:eastAsia="zh-CN"/>
              </w:rPr>
              <w:t>-</w:t>
            </w:r>
          </w:p>
        </w:tc>
        <w:tc>
          <w:tcPr>
            <w:tcW w:w="1871" w:type="dxa"/>
            <w:noWrap w:val="0"/>
            <w:vAlign w:val="center"/>
          </w:tcPr>
          <w:p>
            <w:pPr>
              <w:jc w:val="center"/>
              <w:rPr>
                <w:rFonts w:hint="eastAsia" w:ascii="楷体" w:hAnsi="Times New Roman" w:eastAsia="楷体" w:cs="楷体"/>
                <w:color w:val="000000"/>
                <w:kern w:val="0"/>
                <w:szCs w:val="21"/>
                <w:lang w:val="en-US" w:eastAsia="zh-CN"/>
              </w:rPr>
            </w:pPr>
            <w:r>
              <w:rPr>
                <w:rFonts w:hint="eastAsia" w:ascii="楷体" w:hAnsi="Times New Roman" w:eastAsia="楷体" w:cs="楷体"/>
                <w:color w:val="000000"/>
                <w:kern w:val="0"/>
                <w:szCs w:val="21"/>
                <w:lang w:val="en-US" w:eastAsia="zh-CN"/>
              </w:rPr>
              <w:t>-</w:t>
            </w:r>
          </w:p>
        </w:tc>
      </w:tr>
    </w:tbl>
    <w:p>
      <w:pPr>
        <w:numPr>
          <w:ilvl w:val="0"/>
          <w:numId w:val="15"/>
        </w:numPr>
        <w:tabs>
          <w:tab w:val="left" w:pos="728"/>
        </w:tabs>
        <w:ind w:left="0" w:firstLine="480" w:firstLineChars="200"/>
        <w:rPr>
          <w:rFonts w:hint="eastAsia" w:ascii="楷体" w:hAnsi="楷体" w:eastAsia="楷体" w:cs="Calibri"/>
          <w:sz w:val="24"/>
          <w:szCs w:val="24"/>
        </w:rPr>
      </w:pPr>
      <w:r>
        <w:rPr>
          <w:rFonts w:ascii="楷体" w:hAnsi="楷体" w:eastAsia="楷体" w:cs="Calibri"/>
          <w:sz w:val="24"/>
          <w:szCs w:val="24"/>
        </w:rPr>
        <w:t>申购</w:t>
      </w:r>
      <w:r>
        <w:rPr>
          <w:rFonts w:hint="eastAsia" w:ascii="楷体" w:hAnsi="楷体" w:eastAsia="楷体" w:cs="Calibri"/>
          <w:sz w:val="24"/>
          <w:szCs w:val="24"/>
        </w:rPr>
        <w:t>、</w:t>
      </w:r>
      <w:r>
        <w:rPr>
          <w:rFonts w:ascii="楷体" w:hAnsi="楷体" w:eastAsia="楷体" w:cs="Calibri"/>
          <w:sz w:val="24"/>
          <w:szCs w:val="24"/>
        </w:rPr>
        <w:t>赎回的数额限制</w:t>
      </w:r>
      <w:r>
        <w:rPr>
          <w:rFonts w:hint="eastAsia" w:ascii="楷体" w:hAnsi="楷体" w:eastAsia="楷体" w:cs="Calibri"/>
          <w:sz w:val="24"/>
          <w:szCs w:val="24"/>
        </w:rPr>
        <w:t>：（以各销售机构设置为准）</w:t>
      </w:r>
    </w:p>
    <w:p>
      <w:pPr>
        <w:tabs>
          <w:tab w:val="left" w:pos="728"/>
        </w:tabs>
        <w:ind w:firstLine="486" w:firstLineChars="206"/>
        <w:rPr>
          <w:rFonts w:hint="eastAsia" w:ascii="楷体" w:hAnsi="楷体" w:eastAsia="楷体" w:cs="Calibri"/>
          <w:sz w:val="24"/>
          <w:szCs w:val="24"/>
        </w:rPr>
      </w:pPr>
      <w:r>
        <w:rPr>
          <w:rFonts w:hint="eastAsia" w:ascii="楷体" w:hAnsi="楷体" w:eastAsia="楷体" w:cs="宋体"/>
          <w:spacing w:val="-2"/>
          <w:sz w:val="24"/>
          <w:szCs w:val="24"/>
        </w:rPr>
        <w:t>A份额：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ascii="楷体" w:hAnsi="楷体" w:eastAsia="楷体" w:cs="Calibri"/>
          <w:sz w:val="24"/>
          <w:szCs w:val="24"/>
        </w:rPr>
      </w:pP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hint="eastAsia" w:ascii="楷体" w:hAnsi="楷体" w:eastAsia="楷体"/>
          <w:sz w:val="24"/>
          <w:szCs w:val="24"/>
        </w:rPr>
      </w:pPr>
      <w:r>
        <w:rPr>
          <w:rFonts w:ascii="楷体" w:hAnsi="楷体" w:eastAsia="楷体" w:cs="宋体"/>
          <w:spacing w:val="-2"/>
          <w:sz w:val="24"/>
          <w:szCs w:val="24"/>
        </w:rPr>
        <w:t>D</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w:t>
      </w:r>
      <w:r>
        <w:rPr>
          <w:rFonts w:hint="eastAsia" w:ascii="楷体" w:hAnsi="楷体" w:eastAsia="楷体" w:cs="Calibri"/>
          <w:sz w:val="24"/>
          <w:szCs w:val="24"/>
          <w:lang w:val="en-US" w:eastAsia="zh-CN"/>
        </w:rPr>
        <w:t>个人</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val="en-US" w:eastAsia="zh-CN"/>
        </w:rPr>
        <w:t>机构</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lang w:val="en-US" w:eastAsia="zh-CN"/>
        </w:rPr>
        <w:t>00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eastAsia="zh-CN"/>
        </w:rPr>
        <w:t>；</w:t>
      </w:r>
      <w:r>
        <w:rPr>
          <w:rFonts w:hint="eastAsia" w:ascii="楷体" w:hAnsi="楷体" w:eastAsia="楷体" w:cs="Calibri"/>
          <w:sz w:val="24"/>
          <w:szCs w:val="24"/>
        </w:rPr>
        <w:t>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F份额：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G份额：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H份额：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W份额：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S份额：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撤单操作：在开放计划约定时间内提交的申购/赎回申请可以在产品开放日17:00前撤销，之后不得撤销。</w:t>
      </w:r>
      <w:r>
        <w:rPr>
          <w:rFonts w:hint="eastAsia" w:ascii="楷体" w:hAnsi="楷体" w:eastAsia="楷体"/>
          <w:sz w:val="24"/>
          <w:szCs w:val="24"/>
        </w:rPr>
        <w:t>（以各销售机构设置的撤单截止时间为准）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申购、赎回的操作</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提出申购、赎回申请</w:t>
      </w:r>
    </w:p>
    <w:p>
      <w:pPr>
        <w:ind w:firstLine="480" w:firstLineChars="200"/>
        <w:rPr>
          <w:rFonts w:hint="eastAsia" w:ascii="楷体" w:hAnsi="楷体" w:eastAsia="楷体"/>
          <w:sz w:val="24"/>
          <w:szCs w:val="24"/>
        </w:rPr>
      </w:pPr>
      <w:r>
        <w:rPr>
          <w:rFonts w:hint="eastAsia" w:ascii="楷体" w:hAnsi="楷体" w:eastAsia="楷体"/>
          <w:sz w:val="24"/>
          <w:szCs w:val="24"/>
        </w:rPr>
        <w:t>投资者必须在产品开放计划内提出申购、赎回申请。投资者提出申购申请时，须备足购买资金。投资者提出赎回申请时，须有足够的理财产品份额余额。</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申购、赎回的确认</w:t>
      </w:r>
    </w:p>
    <w:p>
      <w:pPr>
        <w:ind w:firstLine="480" w:firstLineChars="200"/>
        <w:rPr>
          <w:rFonts w:hint="eastAsia" w:ascii="楷体" w:hAnsi="楷体" w:eastAsia="楷体"/>
          <w:sz w:val="24"/>
          <w:szCs w:val="24"/>
        </w:rPr>
      </w:pPr>
      <w:r>
        <w:rPr>
          <w:rFonts w:hint="eastAsia" w:ascii="楷体" w:hAnsi="楷体" w:eastAsia="楷体"/>
          <w:sz w:val="24"/>
          <w:szCs w:val="24"/>
        </w:rPr>
        <w:t>管理人在每个开放日后的第1个工作日对投资者的申购、赎回申请的有效性进行登记并确认。</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申购、赎回的支付</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申购份额、赎回金额的计算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申购份额以四舍五入的方法保留到小数点后两位，赎回金额以四舍五入的方法保留到小数点后两位。</w:t>
      </w:r>
    </w:p>
    <w:p>
      <w:pPr>
        <w:tabs>
          <w:tab w:val="left" w:pos="993"/>
        </w:tabs>
        <w:ind w:left="420" w:leftChars="200"/>
        <w:rPr>
          <w:rFonts w:hint="eastAsia" w:ascii="楷体" w:hAnsi="楷体" w:eastAsia="楷体"/>
          <w:sz w:val="24"/>
          <w:szCs w:val="24"/>
          <w:u w:val="single"/>
        </w:rPr>
      </w:pPr>
      <w:r>
        <w:rPr>
          <w:rFonts w:hint="eastAsia" w:ascii="楷体" w:hAnsi="楷体" w:eastAsia="楷体"/>
          <w:sz w:val="24"/>
          <w:szCs w:val="24"/>
        </w:rPr>
        <w:t>计算示例：（</w:t>
      </w:r>
      <w:r>
        <w:rPr>
          <w:rFonts w:hint="eastAsia" w:ascii="楷体" w:hAnsi="楷体" w:eastAsia="楷体"/>
          <w:b/>
          <w:bCs/>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outlineLvl w:val="2"/>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对应申购的开放日产品单位净值</w:t>
      </w:r>
      <w:r>
        <w:rPr>
          <w:rFonts w:ascii="楷体" w:hAnsi="楷体" w:eastAsia="楷体"/>
          <w:sz w:val="24"/>
          <w:szCs w:val="24"/>
        </w:rPr>
        <w:t>为1.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客户申购确认份额为9088.15份，投资者后续提交赎回申请，赎回其所持有全部份额，对应赎回开放日产品单位净值为1.120221。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w:t>
      </w:r>
      <w:r>
        <w:rPr>
          <w:rFonts w:ascii="楷体" w:hAnsi="楷体" w:eastAsia="楷体"/>
          <w:sz w:val="24"/>
          <w:szCs w:val="24"/>
        </w:rPr>
        <w:t>×</w:t>
      </w:r>
      <w:r>
        <w:rPr>
          <w:rFonts w:hint="eastAsia" w:ascii="楷体" w:hAnsi="楷体" w:eastAsia="楷体"/>
          <w:sz w:val="24"/>
          <w:szCs w:val="24"/>
        </w:rPr>
        <w:t>1.120221=10180.74元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10180.74</w:t>
      </w:r>
      <w:r>
        <w:rPr>
          <w:rFonts w:ascii="楷体" w:hAnsi="楷体" w:eastAsia="楷体"/>
          <w:sz w:val="24"/>
          <w:szCs w:val="24"/>
        </w:rPr>
        <w:t>-</w:t>
      </w:r>
      <w:r>
        <w:rPr>
          <w:rFonts w:hint="eastAsia" w:ascii="楷体" w:hAnsi="楷体" w:eastAsia="楷体"/>
          <w:sz w:val="24"/>
          <w:szCs w:val="24"/>
        </w:rPr>
        <w:t>10000=180.74元</w:t>
      </w:r>
    </w:p>
    <w:p>
      <w:pPr>
        <w:numPr>
          <w:ilvl w:val="0"/>
          <w:numId w:val="17"/>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假定投资者申购10000元，对应申购的开放日产品单位净值为1.100334，客户申购确认份额为9088.15份，投资者后续提交赎回申请，赎回其所持有本产品全部份额，对应赎回开放日产品单位净值为1.094231。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投资者赎回兑付金额=9088.15×1.094231=9944.54元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投资者投资收益金额=9944.54-10000=-55.46元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投资者投资本理财产品实际亏损55.46元，</w:t>
      </w:r>
      <w:r>
        <w:rPr>
          <w:rFonts w:hint="eastAsia" w:ascii="楷体" w:hAnsi="楷体" w:eastAsia="楷体"/>
          <w:b/>
          <w:sz w:val="24"/>
          <w:szCs w:val="24"/>
          <w:u w:val="single"/>
        </w:rPr>
        <w:t>在最不利的</w:t>
      </w:r>
      <w:r>
        <w:rPr>
          <w:rFonts w:hint="eastAsia" w:ascii="楷体" w:hAnsi="楷体" w:eastAsia="楷体"/>
          <w:b/>
          <w:sz w:val="24"/>
          <w:szCs w:val="24"/>
          <w:u w:val="single"/>
          <w:lang w:val="en-US" w:eastAsia="zh-CN"/>
        </w:rPr>
        <w:t>情形</w:t>
      </w:r>
      <w:r>
        <w:rPr>
          <w:rFonts w:hint="eastAsia" w:ascii="楷体" w:hAnsi="楷体" w:eastAsia="楷体"/>
          <w:b/>
          <w:sz w:val="24"/>
          <w:szCs w:val="24"/>
          <w:u w:val="single"/>
        </w:rPr>
        <w:t>下，投资者可能损失</w:t>
      </w:r>
      <w:r>
        <w:rPr>
          <w:rFonts w:ascii="楷体" w:hAnsi="楷体" w:eastAsia="楷体"/>
          <w:b/>
          <w:sz w:val="24"/>
          <w:szCs w:val="24"/>
          <w:u w:val="single"/>
        </w:rPr>
        <w:t>100%</w:t>
      </w:r>
      <w:r>
        <w:rPr>
          <w:rFonts w:hint="eastAsia" w:ascii="楷体" w:hAnsi="楷体" w:eastAsia="楷体"/>
          <w:b/>
          <w:sz w:val="24"/>
          <w:szCs w:val="24"/>
          <w:u w:val="single"/>
        </w:rPr>
        <w:t>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巨额赎回的认定及处理</w:t>
      </w:r>
    </w:p>
    <w:p>
      <w:pPr>
        <w:numPr>
          <w:ilvl w:val="0"/>
          <w:numId w:val="18"/>
        </w:numPr>
        <w:tabs>
          <w:tab w:val="left" w:pos="728"/>
        </w:tabs>
        <w:ind w:left="0" w:firstLine="480" w:firstLineChars="200"/>
        <w:outlineLvl w:val="2"/>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巨额赎回的认定</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1）</w:t>
      </w:r>
      <w:r>
        <w:rPr>
          <w:rFonts w:hint="eastAsia" w:ascii="楷体" w:hAnsi="楷体" w:eastAsia="楷体"/>
          <w:sz w:val="24"/>
          <w:szCs w:val="24"/>
          <w:highlight w:val="none"/>
        </w:rPr>
        <w:t>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2）</w:t>
      </w:r>
      <w:r>
        <w:rPr>
          <w:rFonts w:hint="eastAsia" w:ascii="楷体" w:hAnsi="楷体" w:eastAsia="楷体"/>
          <w:sz w:val="24"/>
          <w:szCs w:val="24"/>
          <w:highlight w:val="none"/>
        </w:rPr>
        <w:t>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3）</w:t>
      </w:r>
      <w:r>
        <w:rPr>
          <w:rFonts w:hint="eastAsia" w:ascii="楷体" w:hAnsi="楷体" w:eastAsia="楷体"/>
          <w:sz w:val="24"/>
          <w:szCs w:val="24"/>
          <w:highlight w:val="none"/>
        </w:rPr>
        <w:t>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lang w:eastAsia="zh-CN"/>
        </w:rPr>
        <w:t>）</w:t>
      </w:r>
      <w:r>
        <w:rPr>
          <w:rFonts w:hint="eastAsia" w:ascii="楷体" w:hAnsi="楷体" w:eastAsia="楷体" w:cs="Calibri"/>
          <w:sz w:val="24"/>
          <w:szCs w:val="24"/>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5</w:t>
      </w:r>
      <w:r>
        <w:rPr>
          <w:rFonts w:hint="eastAsia" w:ascii="楷体" w:hAnsi="楷体" w:eastAsia="楷体" w:cs="Calibri"/>
          <w:sz w:val="24"/>
          <w:szCs w:val="24"/>
          <w:lang w:eastAsia="zh-CN"/>
        </w:rPr>
        <w:t>）</w:t>
      </w:r>
      <w:r>
        <w:rPr>
          <w:rFonts w:hint="eastAsia" w:ascii="楷体" w:hAnsi="楷体" w:eastAsia="楷体" w:cs="Calibri"/>
          <w:sz w:val="24"/>
          <w:szCs w:val="24"/>
        </w:rPr>
        <w:t>赎回资金到账：未发生</w:t>
      </w:r>
      <w:r>
        <w:rPr>
          <w:rFonts w:ascii="楷体" w:hAnsi="楷体" w:eastAsia="楷体" w:cs="Calibri"/>
          <w:sz w:val="24"/>
          <w:szCs w:val="24"/>
        </w:rPr>
        <w:t>巨额赎回的情况下，</w:t>
      </w:r>
      <w:r>
        <w:rPr>
          <w:rFonts w:hint="eastAsia" w:ascii="楷体" w:hAnsi="楷体" w:eastAsia="楷体" w:cs="Calibri"/>
          <w:sz w:val="24"/>
          <w:szCs w:val="24"/>
        </w:rPr>
        <w:t>实际赎回确认日后</w:t>
      </w:r>
      <w:r>
        <w:rPr>
          <w:rFonts w:hint="eastAsia" w:ascii="楷体" w:hAnsi="楷体" w:eastAsia="楷体" w:cs="Calibri"/>
          <w:sz w:val="24"/>
          <w:szCs w:val="24"/>
          <w:lang w:val="en-US" w:eastAsia="zh-CN"/>
        </w:rPr>
        <w:t>2</w:t>
      </w:r>
      <w:r>
        <w:rPr>
          <w:rFonts w:hint="eastAsia" w:ascii="楷体" w:hAnsi="楷体" w:eastAsia="楷体" w:cs="Calibri"/>
          <w:sz w:val="24"/>
          <w:szCs w:val="24"/>
        </w:rPr>
        <w:t>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特殊情形及处理</w:t>
      </w:r>
    </w:p>
    <w:p>
      <w:pPr>
        <w:ind w:firstLine="482" w:firstLineChars="200"/>
        <w:outlineLvl w:val="2"/>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（1）不可抗力的原因导致产品无法正常运作</w:t>
      </w:r>
      <w:r>
        <w:rPr>
          <w:rFonts w:hint="eastAsia" w:ascii="楷体" w:hAnsi="楷体" w:eastAsia="楷体" w:cs="Calibri"/>
          <w:sz w:val="24"/>
          <w:szCs w:val="24"/>
          <w:lang w:eastAsia="zh-CN"/>
        </w:rPr>
        <w:t>。</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（2）超出产品单一投资者持有上限</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outlineLvl w:val="2"/>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（1）不可抗力的原因导致管理人不能支付赎回款项</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（2）触发巨额赎回条款</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（3）发生《理财产品说明书》约定的暂停估值的情形。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（4）当接受某笔或某些赎回申请可能对存量理财计划份额持有人利益构成潜在重大不利影响时。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（5）发生单个投资者单个开放日申请赎回理财计划份额超过理财产品总份额10%的情形。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估值要求</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w:t>
      </w:r>
      <w:r>
        <w:rPr>
          <w:rFonts w:hint="eastAsia" w:ascii="楷体" w:hAnsi="楷体" w:eastAsia="楷体" w:cs="Calibri"/>
          <w:sz w:val="24"/>
          <w:szCs w:val="24"/>
          <w:lang w:val="en-US" w:eastAsia="zh-CN"/>
        </w:rPr>
        <w:t>申购、赎回和</w:t>
      </w:r>
      <w:r>
        <w:rPr>
          <w:rFonts w:hint="eastAsia" w:ascii="楷体" w:hAnsi="楷体" w:eastAsia="楷体" w:cs="Calibri"/>
          <w:sz w:val="24"/>
          <w:szCs w:val="24"/>
        </w:rPr>
        <w:t>兑付提供计价依据。</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本产品单位净值精确到小数点后6位，小数点6位后截位。</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本产品每日估值，存续期内每周按说明书约定方式披露单位净值，每个开放日结束后2个工作日内通过本理财产品说明书约定方式披露上一投资周期终止日的单位净值、份额累计净值、认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估值方法</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r>
        <w:rPr>
          <w:rFonts w:hint="eastAsia" w:ascii="楷体" w:hAnsi="楷体" w:eastAsia="楷体"/>
          <w:sz w:val="24"/>
          <w:szCs w:val="24"/>
        </w:rPr>
        <w:t>。</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3"/>
        </w:numPr>
        <w:tabs>
          <w:tab w:val="left" w:pos="1428"/>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理财产品的终止</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outlineLvl w:val="2"/>
        <w:rPr>
          <w:rFonts w:hint="eastAsia" w:ascii="楷体" w:hAnsi="楷体" w:eastAsia="楷体" w:cs="Calibri"/>
          <w:b w:val="0"/>
          <w:color w:val="auto"/>
          <w:sz w:val="24"/>
          <w:szCs w:val="24"/>
        </w:rPr>
      </w:pPr>
      <w:r>
        <w:rPr>
          <w:rFonts w:hint="eastAsia" w:ascii="楷体" w:hAnsi="楷体" w:eastAsia="楷体" w:cs="Calibri"/>
          <w:b w:val="0"/>
          <w:color w:val="auto"/>
          <w:sz w:val="24"/>
          <w:szCs w:val="24"/>
          <w:lang w:val="en-US" w:eastAsia="zh-CN"/>
        </w:rPr>
        <w:t>正常兑付</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市场发生重大变化等</w:t>
      </w:r>
      <w:r>
        <w:rPr>
          <w:rFonts w:hint="eastAsia" w:ascii="楷体" w:hAnsi="楷体" w:eastAsia="楷体" w:cs="Calibri"/>
          <w:sz w:val="24"/>
          <w:szCs w:val="24"/>
        </w:rPr>
        <w:t>原因导致产品项下对应的投资标的无法及时变现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无法</w:t>
      </w:r>
      <w:r>
        <w:rPr>
          <w:rFonts w:hint="eastAsia" w:ascii="楷体" w:hAnsi="楷体" w:eastAsia="楷体" w:cs="Calibri"/>
          <w:sz w:val="24"/>
          <w:szCs w:val="24"/>
        </w:rPr>
        <w:t>及时收回资金；</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color w:val="auto"/>
          <w:sz w:val="24"/>
          <w:szCs w:val="24"/>
        </w:rPr>
        <w:t>法律法规规定或监管部门认定的其他情形</w:t>
      </w:r>
      <w:r>
        <w:rPr>
          <w:rFonts w:hint="eastAsia" w:ascii="楷体" w:hAnsi="楷体" w:eastAsia="楷体" w:cs="Calibri"/>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理财产品的清算</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投资管理费：本产品的投资管理费每日计提，按</w:t>
      </w:r>
      <w:r>
        <w:rPr>
          <w:rFonts w:hint="eastAsia" w:ascii="楷体" w:hAnsi="楷体" w:eastAsia="楷体" w:cs="Calibri"/>
          <w:sz w:val="24"/>
          <w:szCs w:val="24"/>
          <w:lang w:val="en-US" w:eastAsia="zh-CN"/>
        </w:rPr>
        <w:t>月</w:t>
      </w:r>
      <w:r>
        <w:rPr>
          <w:rFonts w:hint="eastAsia" w:ascii="楷体" w:hAnsi="楷体" w:eastAsia="楷体" w:cs="Calibri"/>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若单一投资周期各份额实际投资收益在扣除托管费、销售服务费、投资管理费以及运作产品所必须缴纳的税费后超过各份额业绩比较基准</w:t>
      </w:r>
      <w:r>
        <w:rPr>
          <w:rFonts w:hint="eastAsia" w:ascii="楷体" w:hAnsi="楷体" w:eastAsia="楷体"/>
          <w:sz w:val="24"/>
          <w:szCs w:val="24"/>
          <w:lang w:val="en-US" w:eastAsia="zh-CN"/>
        </w:rPr>
        <w:t>上限</w:t>
      </w:r>
      <w:r>
        <w:rPr>
          <w:rFonts w:hint="eastAsia" w:ascii="楷体" w:hAnsi="楷体" w:eastAsia="楷体"/>
          <w:sz w:val="24"/>
          <w:szCs w:val="24"/>
        </w:rPr>
        <w:t>，则该投资周期终止日后管理人将按照超出部分的</w:t>
      </w:r>
      <w:r>
        <w:rPr>
          <w:rFonts w:hint="eastAsia" w:ascii="楷体" w:hAnsi="楷体" w:eastAsia="楷体"/>
          <w:sz w:val="24"/>
          <w:szCs w:val="24"/>
          <w:lang w:val="en-US" w:eastAsia="zh-CN"/>
        </w:rPr>
        <w:t>50</w:t>
      </w:r>
      <w:r>
        <w:rPr>
          <w:rFonts w:hint="eastAsia" w:ascii="楷体" w:hAnsi="楷体" w:eastAsia="楷体"/>
          <w:sz w:val="24"/>
          <w:szCs w:val="24"/>
        </w:rPr>
        <w:t>%收取超额业绩报酬。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产品管理人有权根据市场情况等调整上述各项费用费率和超额业绩报酬收取方式及比例，并至少于调整日之前2个工作日进行公告。</w:t>
      </w:r>
      <w:r>
        <w:rPr>
          <w:rFonts w:hint="eastAsia" w:ascii="楷体" w:hAnsi="楷体" w:eastAsia="楷体"/>
          <w:sz w:val="24"/>
          <w:szCs w:val="24"/>
          <w:lang w:eastAsia="zh-CN"/>
        </w:rPr>
        <w:t>产品管理人将通过短信及苏银理财有限责任公司官方网站（www.suyinwealth.com）、销售机构电子渠道和营业网点等方式进行信息披露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特殊赎回期间，具体以届时产品管理人公告为准；如投资者未赎回本产品，则视为本理财产品投资者对相关调整无异议且同意在调整后继续持有本理财产品。本产品不收取认购费用、申购费用、赎回费用。</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3"/>
        </w:numPr>
        <w:tabs>
          <w:tab w:val="left" w:pos="1414"/>
        </w:tabs>
        <w:ind w:firstLine="562" w:firstLineChars="200"/>
        <w:outlineLvl w:val="0"/>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托管人职责</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信息披露内容</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信息披露频率</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产品净值披露：本产品存续期内每周按说明书约定方式披露单位净值，每个开放日结束后2个工作日内通过本理财产品说明书约定方式披露上一投资周期终止日的单位净值、份额累计净值、认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w:t>
      </w:r>
      <w:r>
        <w:rPr>
          <w:rFonts w:hint="eastAsia" w:ascii="楷体" w:hAnsi="楷体" w:eastAsia="楷体" w:cs="Calibri"/>
          <w:sz w:val="24"/>
          <w:szCs w:val="24"/>
          <w:lang w:val="en-US" w:eastAsia="zh-CN"/>
        </w:rPr>
        <w:t>份额单位</w:t>
      </w:r>
      <w:r>
        <w:rPr>
          <w:rFonts w:hint="eastAsia" w:ascii="楷体" w:hAnsi="楷体" w:eastAsia="楷体" w:cs="Calibri"/>
          <w:sz w:val="24"/>
          <w:szCs w:val="24"/>
        </w:rPr>
        <w:t>净值、份额累计净值、资产净值、收益情况、投资者理财交易账户发生的交易明细记录等信息。</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信息披露方式</w:t>
      </w:r>
    </w:p>
    <w:p>
      <w:pPr>
        <w:ind w:firstLine="480" w:firstLineChars="200"/>
        <w:rPr>
          <w:rFonts w:hint="eastAsia"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苏银理财通过苏银理财有限责任公司官方网站（</w:t>
      </w:r>
      <w:r>
        <w:rPr>
          <w:rFonts w:ascii="楷体" w:hAnsi="楷体" w:eastAsia="楷体" w:cs="Calibri"/>
          <w:sz w:val="24"/>
          <w:szCs w:val="24"/>
        </w:rPr>
        <w:t>www.suyinwealth.com</w:t>
      </w:r>
      <w:r>
        <w:rPr>
          <w:rFonts w:hint="eastAsia" w:ascii="楷体" w:hAnsi="楷体" w:eastAsia="楷体" w:cs="Calibri"/>
          <w:sz w:val="24"/>
          <w:szCs w:val="24"/>
        </w:rPr>
        <w:t>）进行信息披露。</w:t>
      </w:r>
    </w:p>
    <w:p>
      <w:pPr>
        <w:numPr>
          <w:ilvl w:val="0"/>
          <w:numId w:val="3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w:t>
      </w:r>
      <w:r>
        <w:rPr>
          <w:rFonts w:hint="eastAsia" w:ascii="楷体" w:hAnsi="楷体" w:eastAsia="楷体"/>
          <w:sz w:val="24"/>
          <w:szCs w:val="24"/>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rPr>
        <w:t>请</w:t>
      </w:r>
      <w:r>
        <w:rPr>
          <w:rFonts w:hint="eastAsia" w:ascii="楷体" w:hAnsi="楷体" w:eastAsia="楷体"/>
          <w:sz w:val="24"/>
          <w:szCs w:val="24"/>
          <w:lang w:val="en-US" w:eastAsia="zh-CN"/>
        </w:rPr>
        <w:t>投资者</w:t>
      </w:r>
      <w:r>
        <w:rPr>
          <w:rFonts w:hint="eastAsia" w:ascii="楷体" w:hAnsi="楷体" w:eastAsia="楷体"/>
          <w:sz w:val="24"/>
          <w:szCs w:val="24"/>
        </w:rPr>
        <w:t>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lang w:val="en-US" w:eastAsia="zh-CN"/>
        </w:rPr>
        <w:t>接触</w:t>
      </w:r>
      <w:r>
        <w:rPr>
          <w:rFonts w:hint="eastAsia" w:ascii="楷体" w:hAnsi="楷体" w:eastAsia="楷体"/>
          <w:sz w:val="24"/>
          <w:szCs w:val="24"/>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hint="eastAsia" w:ascii="楷体" w:hAnsi="楷体" w:eastAsia="楷体"/>
          <w:sz w:val="24"/>
          <w:szCs w:val="24"/>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p>
      <w:pPr>
        <w:rPr>
          <w:rFonts w:hint="eastAsia" w:ascii="楷体" w:hAnsi="楷体" w:eastAsia="楷体"/>
          <w:sz w:val="24"/>
          <w:szCs w:val="24"/>
        </w:rPr>
      </w:pP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C82A25"/>
    <w:multiLevelType w:val="multilevel"/>
    <w:tmpl w:val="67C82A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14"/>
  </w:num>
  <w:num w:numId="3">
    <w:abstractNumId w:val="5"/>
  </w:num>
  <w:num w:numId="4">
    <w:abstractNumId w:val="11"/>
  </w:num>
  <w:num w:numId="5">
    <w:abstractNumId w:val="26"/>
  </w:num>
  <w:num w:numId="6">
    <w:abstractNumId w:val="21"/>
  </w:num>
  <w:num w:numId="7">
    <w:abstractNumId w:val="29"/>
  </w:num>
  <w:num w:numId="8">
    <w:abstractNumId w:val="6"/>
  </w:num>
  <w:num w:numId="9">
    <w:abstractNumId w:val="13"/>
  </w:num>
  <w:num w:numId="10">
    <w:abstractNumId w:val="0"/>
  </w:num>
  <w:num w:numId="11">
    <w:abstractNumId w:val="32"/>
  </w:num>
  <w:num w:numId="12">
    <w:abstractNumId w:val="22"/>
  </w:num>
  <w:num w:numId="13">
    <w:abstractNumId w:val="16"/>
  </w:num>
  <w:num w:numId="14">
    <w:abstractNumId w:val="7"/>
  </w:num>
  <w:num w:numId="15">
    <w:abstractNumId w:val="4"/>
  </w:num>
  <w:num w:numId="16">
    <w:abstractNumId w:val="8"/>
  </w:num>
  <w:num w:numId="17">
    <w:abstractNumId w:val="27"/>
  </w:num>
  <w:num w:numId="18">
    <w:abstractNumId w:val="23"/>
  </w:num>
  <w:num w:numId="19">
    <w:abstractNumId w:val="20"/>
  </w:num>
  <w:num w:numId="20">
    <w:abstractNumId w:val="18"/>
  </w:num>
  <w:num w:numId="21">
    <w:abstractNumId w:val="3"/>
  </w:num>
  <w:num w:numId="22">
    <w:abstractNumId w:val="9"/>
  </w:num>
  <w:num w:numId="23">
    <w:abstractNumId w:val="28"/>
  </w:num>
  <w:num w:numId="24">
    <w:abstractNumId w:val="2"/>
  </w:num>
  <w:num w:numId="25">
    <w:abstractNumId w:val="30"/>
  </w:num>
  <w:num w:numId="26">
    <w:abstractNumId w:val="19"/>
  </w:num>
  <w:num w:numId="27">
    <w:abstractNumId w:val="17"/>
  </w:num>
  <w:num w:numId="28">
    <w:abstractNumId w:val="34"/>
  </w:num>
  <w:num w:numId="29">
    <w:abstractNumId w:val="25"/>
  </w:num>
  <w:num w:numId="30">
    <w:abstractNumId w:val="10"/>
  </w:num>
  <w:num w:numId="31">
    <w:abstractNumId w:val="33"/>
  </w:num>
  <w:num w:numId="32">
    <w:abstractNumId w:val="15"/>
  </w:num>
  <w:num w:numId="33">
    <w:abstractNumId w:val="31"/>
  </w:num>
  <w:num w:numId="34">
    <w:abstractNumId w:val="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AFB"/>
    <w:rsid w:val="00006EAF"/>
    <w:rsid w:val="0000713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3BD1"/>
    <w:rsid w:val="00023E47"/>
    <w:rsid w:val="000247F9"/>
    <w:rsid w:val="00024A4A"/>
    <w:rsid w:val="000263ED"/>
    <w:rsid w:val="00026591"/>
    <w:rsid w:val="000275AC"/>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201"/>
    <w:rsid w:val="0004768E"/>
    <w:rsid w:val="00050975"/>
    <w:rsid w:val="00051D94"/>
    <w:rsid w:val="00051DB3"/>
    <w:rsid w:val="000522EC"/>
    <w:rsid w:val="00054158"/>
    <w:rsid w:val="00054854"/>
    <w:rsid w:val="00055332"/>
    <w:rsid w:val="00055CB4"/>
    <w:rsid w:val="0005670B"/>
    <w:rsid w:val="000567FE"/>
    <w:rsid w:val="00060571"/>
    <w:rsid w:val="00060B00"/>
    <w:rsid w:val="00061D74"/>
    <w:rsid w:val="000622F4"/>
    <w:rsid w:val="00062791"/>
    <w:rsid w:val="00063E49"/>
    <w:rsid w:val="00064F2B"/>
    <w:rsid w:val="00066944"/>
    <w:rsid w:val="00066A4B"/>
    <w:rsid w:val="00066F56"/>
    <w:rsid w:val="00066FC3"/>
    <w:rsid w:val="000677EE"/>
    <w:rsid w:val="00070C29"/>
    <w:rsid w:val="00071418"/>
    <w:rsid w:val="00071581"/>
    <w:rsid w:val="0007293A"/>
    <w:rsid w:val="00072D1F"/>
    <w:rsid w:val="00072EF5"/>
    <w:rsid w:val="000732F2"/>
    <w:rsid w:val="0007366C"/>
    <w:rsid w:val="00074189"/>
    <w:rsid w:val="00074306"/>
    <w:rsid w:val="000757BB"/>
    <w:rsid w:val="00076189"/>
    <w:rsid w:val="00077A9A"/>
    <w:rsid w:val="00077DDA"/>
    <w:rsid w:val="00080568"/>
    <w:rsid w:val="00080C2C"/>
    <w:rsid w:val="00081AD6"/>
    <w:rsid w:val="000820E2"/>
    <w:rsid w:val="00083319"/>
    <w:rsid w:val="000839AD"/>
    <w:rsid w:val="000853F6"/>
    <w:rsid w:val="00086585"/>
    <w:rsid w:val="000867A8"/>
    <w:rsid w:val="00087036"/>
    <w:rsid w:val="00087EDB"/>
    <w:rsid w:val="00091208"/>
    <w:rsid w:val="00091C44"/>
    <w:rsid w:val="00092843"/>
    <w:rsid w:val="000934F7"/>
    <w:rsid w:val="00093C11"/>
    <w:rsid w:val="000945CC"/>
    <w:rsid w:val="00094631"/>
    <w:rsid w:val="0009573A"/>
    <w:rsid w:val="000958D2"/>
    <w:rsid w:val="00096382"/>
    <w:rsid w:val="000972B0"/>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A22"/>
    <w:rsid w:val="000D1E06"/>
    <w:rsid w:val="000D35BD"/>
    <w:rsid w:val="000D5455"/>
    <w:rsid w:val="000D71CF"/>
    <w:rsid w:val="000D7225"/>
    <w:rsid w:val="000D722C"/>
    <w:rsid w:val="000D7277"/>
    <w:rsid w:val="000E0485"/>
    <w:rsid w:val="000E21D9"/>
    <w:rsid w:val="000E2E7D"/>
    <w:rsid w:val="000E34BA"/>
    <w:rsid w:val="000E34F3"/>
    <w:rsid w:val="000E3792"/>
    <w:rsid w:val="000E4205"/>
    <w:rsid w:val="000E5598"/>
    <w:rsid w:val="000E7CF6"/>
    <w:rsid w:val="000E7D1B"/>
    <w:rsid w:val="000E7DF4"/>
    <w:rsid w:val="000F0433"/>
    <w:rsid w:val="000F19D4"/>
    <w:rsid w:val="000F1D3C"/>
    <w:rsid w:val="000F2BB5"/>
    <w:rsid w:val="000F3D5D"/>
    <w:rsid w:val="000F4243"/>
    <w:rsid w:val="000F4811"/>
    <w:rsid w:val="000F4ABF"/>
    <w:rsid w:val="000F510B"/>
    <w:rsid w:val="000F5B66"/>
    <w:rsid w:val="000F5BE5"/>
    <w:rsid w:val="000F5FF6"/>
    <w:rsid w:val="000F65C5"/>
    <w:rsid w:val="000F6A6E"/>
    <w:rsid w:val="000F7056"/>
    <w:rsid w:val="000F7D2C"/>
    <w:rsid w:val="00100EB5"/>
    <w:rsid w:val="00100F0C"/>
    <w:rsid w:val="001025A3"/>
    <w:rsid w:val="00103497"/>
    <w:rsid w:val="001036A0"/>
    <w:rsid w:val="0010457E"/>
    <w:rsid w:val="00105BD7"/>
    <w:rsid w:val="001065F5"/>
    <w:rsid w:val="00110417"/>
    <w:rsid w:val="0011103A"/>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66"/>
    <w:rsid w:val="00125B8C"/>
    <w:rsid w:val="0012647A"/>
    <w:rsid w:val="00126EE1"/>
    <w:rsid w:val="00127044"/>
    <w:rsid w:val="001303B2"/>
    <w:rsid w:val="00130EED"/>
    <w:rsid w:val="00130F7B"/>
    <w:rsid w:val="00131F1B"/>
    <w:rsid w:val="0013364F"/>
    <w:rsid w:val="00133AAF"/>
    <w:rsid w:val="00133B98"/>
    <w:rsid w:val="0013472F"/>
    <w:rsid w:val="00134733"/>
    <w:rsid w:val="00134B7E"/>
    <w:rsid w:val="0013526A"/>
    <w:rsid w:val="001359ED"/>
    <w:rsid w:val="00140B25"/>
    <w:rsid w:val="0014427A"/>
    <w:rsid w:val="00144304"/>
    <w:rsid w:val="001450DF"/>
    <w:rsid w:val="001450E0"/>
    <w:rsid w:val="0014734D"/>
    <w:rsid w:val="00151CC7"/>
    <w:rsid w:val="00151ED4"/>
    <w:rsid w:val="00152B36"/>
    <w:rsid w:val="001530B2"/>
    <w:rsid w:val="001542A4"/>
    <w:rsid w:val="001543E7"/>
    <w:rsid w:val="00154F7A"/>
    <w:rsid w:val="00155B77"/>
    <w:rsid w:val="00157DE3"/>
    <w:rsid w:val="00160569"/>
    <w:rsid w:val="00160CEC"/>
    <w:rsid w:val="00161000"/>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84C45"/>
    <w:rsid w:val="0019333A"/>
    <w:rsid w:val="00194E69"/>
    <w:rsid w:val="00194F44"/>
    <w:rsid w:val="00195ECF"/>
    <w:rsid w:val="00197DD9"/>
    <w:rsid w:val="001A059E"/>
    <w:rsid w:val="001A05F5"/>
    <w:rsid w:val="001A1C12"/>
    <w:rsid w:val="001A2434"/>
    <w:rsid w:val="001A422B"/>
    <w:rsid w:val="001A502C"/>
    <w:rsid w:val="001A57DB"/>
    <w:rsid w:val="001A586B"/>
    <w:rsid w:val="001A72FD"/>
    <w:rsid w:val="001A73F1"/>
    <w:rsid w:val="001B1D26"/>
    <w:rsid w:val="001B1E1E"/>
    <w:rsid w:val="001B25A3"/>
    <w:rsid w:val="001B272C"/>
    <w:rsid w:val="001B2F76"/>
    <w:rsid w:val="001B2F82"/>
    <w:rsid w:val="001B396B"/>
    <w:rsid w:val="001B413E"/>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014"/>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D03"/>
    <w:rsid w:val="001E4E95"/>
    <w:rsid w:val="001E55CB"/>
    <w:rsid w:val="001E57B9"/>
    <w:rsid w:val="001E6078"/>
    <w:rsid w:val="001E631F"/>
    <w:rsid w:val="001E6A8F"/>
    <w:rsid w:val="001F0A69"/>
    <w:rsid w:val="001F170E"/>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590E"/>
    <w:rsid w:val="0020639A"/>
    <w:rsid w:val="002078BE"/>
    <w:rsid w:val="00210857"/>
    <w:rsid w:val="002119A2"/>
    <w:rsid w:val="00213632"/>
    <w:rsid w:val="002158C4"/>
    <w:rsid w:val="00215F66"/>
    <w:rsid w:val="00220657"/>
    <w:rsid w:val="0022162D"/>
    <w:rsid w:val="002222A4"/>
    <w:rsid w:val="002239BC"/>
    <w:rsid w:val="0022633B"/>
    <w:rsid w:val="00226F9D"/>
    <w:rsid w:val="0022731F"/>
    <w:rsid w:val="002276FA"/>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189"/>
    <w:rsid w:val="00241423"/>
    <w:rsid w:val="0024212E"/>
    <w:rsid w:val="002425D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4D59"/>
    <w:rsid w:val="00255480"/>
    <w:rsid w:val="00255ECB"/>
    <w:rsid w:val="00256119"/>
    <w:rsid w:val="00256E57"/>
    <w:rsid w:val="0025744E"/>
    <w:rsid w:val="002579CC"/>
    <w:rsid w:val="00262279"/>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7E8"/>
    <w:rsid w:val="00274FAF"/>
    <w:rsid w:val="0027510A"/>
    <w:rsid w:val="002765F4"/>
    <w:rsid w:val="00276883"/>
    <w:rsid w:val="00277728"/>
    <w:rsid w:val="00277C1F"/>
    <w:rsid w:val="00277CC3"/>
    <w:rsid w:val="002817EA"/>
    <w:rsid w:val="002821D7"/>
    <w:rsid w:val="002824BB"/>
    <w:rsid w:val="00282F20"/>
    <w:rsid w:val="00283C4B"/>
    <w:rsid w:val="00285867"/>
    <w:rsid w:val="0029004F"/>
    <w:rsid w:val="00291A31"/>
    <w:rsid w:val="00291B84"/>
    <w:rsid w:val="00292B19"/>
    <w:rsid w:val="00292B5E"/>
    <w:rsid w:val="002932FC"/>
    <w:rsid w:val="00293B59"/>
    <w:rsid w:val="00294431"/>
    <w:rsid w:val="0029474A"/>
    <w:rsid w:val="00294B49"/>
    <w:rsid w:val="0029526F"/>
    <w:rsid w:val="00295538"/>
    <w:rsid w:val="00296EB4"/>
    <w:rsid w:val="00297034"/>
    <w:rsid w:val="00297598"/>
    <w:rsid w:val="002A046A"/>
    <w:rsid w:val="002A13F4"/>
    <w:rsid w:val="002A23E0"/>
    <w:rsid w:val="002A2E20"/>
    <w:rsid w:val="002A2FFA"/>
    <w:rsid w:val="002A32DF"/>
    <w:rsid w:val="002A46D7"/>
    <w:rsid w:val="002A6980"/>
    <w:rsid w:val="002A7DF5"/>
    <w:rsid w:val="002A7E94"/>
    <w:rsid w:val="002B064E"/>
    <w:rsid w:val="002B0795"/>
    <w:rsid w:val="002B0AC9"/>
    <w:rsid w:val="002B2620"/>
    <w:rsid w:val="002B3225"/>
    <w:rsid w:val="002B5694"/>
    <w:rsid w:val="002B659F"/>
    <w:rsid w:val="002B7037"/>
    <w:rsid w:val="002C021F"/>
    <w:rsid w:val="002C1C54"/>
    <w:rsid w:val="002C2056"/>
    <w:rsid w:val="002C23F7"/>
    <w:rsid w:val="002C275F"/>
    <w:rsid w:val="002C2ADA"/>
    <w:rsid w:val="002C3367"/>
    <w:rsid w:val="002C478A"/>
    <w:rsid w:val="002C50C0"/>
    <w:rsid w:val="002C513A"/>
    <w:rsid w:val="002C6302"/>
    <w:rsid w:val="002C7117"/>
    <w:rsid w:val="002C7CB4"/>
    <w:rsid w:val="002D0706"/>
    <w:rsid w:val="002D29FD"/>
    <w:rsid w:val="002D2AEC"/>
    <w:rsid w:val="002D2B97"/>
    <w:rsid w:val="002D2C1F"/>
    <w:rsid w:val="002E1382"/>
    <w:rsid w:val="002E32E2"/>
    <w:rsid w:val="002E4F2A"/>
    <w:rsid w:val="002E6AD0"/>
    <w:rsid w:val="002E6F55"/>
    <w:rsid w:val="002F04F4"/>
    <w:rsid w:val="002F0920"/>
    <w:rsid w:val="002F0E4E"/>
    <w:rsid w:val="002F344B"/>
    <w:rsid w:val="002F3FBD"/>
    <w:rsid w:val="002F606F"/>
    <w:rsid w:val="002F6956"/>
    <w:rsid w:val="002F709A"/>
    <w:rsid w:val="002F77A8"/>
    <w:rsid w:val="0030035F"/>
    <w:rsid w:val="00301619"/>
    <w:rsid w:val="00301AD3"/>
    <w:rsid w:val="00301E80"/>
    <w:rsid w:val="003025CE"/>
    <w:rsid w:val="00302755"/>
    <w:rsid w:val="00303458"/>
    <w:rsid w:val="003039FF"/>
    <w:rsid w:val="00304375"/>
    <w:rsid w:val="00304D18"/>
    <w:rsid w:val="003050A7"/>
    <w:rsid w:val="00305A15"/>
    <w:rsid w:val="00305F8C"/>
    <w:rsid w:val="00306353"/>
    <w:rsid w:val="00306D41"/>
    <w:rsid w:val="00307094"/>
    <w:rsid w:val="00307342"/>
    <w:rsid w:val="00310A72"/>
    <w:rsid w:val="00311C18"/>
    <w:rsid w:val="0031298C"/>
    <w:rsid w:val="00313619"/>
    <w:rsid w:val="00313D52"/>
    <w:rsid w:val="00313E33"/>
    <w:rsid w:val="00314235"/>
    <w:rsid w:val="00314E35"/>
    <w:rsid w:val="00320186"/>
    <w:rsid w:val="003206F0"/>
    <w:rsid w:val="00321DFA"/>
    <w:rsid w:val="003222FC"/>
    <w:rsid w:val="00324EC0"/>
    <w:rsid w:val="00325665"/>
    <w:rsid w:val="00325D85"/>
    <w:rsid w:val="0032607C"/>
    <w:rsid w:val="00326E7B"/>
    <w:rsid w:val="003305DB"/>
    <w:rsid w:val="0033166C"/>
    <w:rsid w:val="0033271D"/>
    <w:rsid w:val="0033358A"/>
    <w:rsid w:val="00333937"/>
    <w:rsid w:val="003342B8"/>
    <w:rsid w:val="0033504B"/>
    <w:rsid w:val="003362C7"/>
    <w:rsid w:val="00336A5A"/>
    <w:rsid w:val="00337043"/>
    <w:rsid w:val="00337AA0"/>
    <w:rsid w:val="00341B50"/>
    <w:rsid w:val="00342745"/>
    <w:rsid w:val="00342ADB"/>
    <w:rsid w:val="00343AA6"/>
    <w:rsid w:val="00343B0F"/>
    <w:rsid w:val="00344A27"/>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73E"/>
    <w:rsid w:val="003749F9"/>
    <w:rsid w:val="00375BEB"/>
    <w:rsid w:val="00375BF0"/>
    <w:rsid w:val="00376D78"/>
    <w:rsid w:val="0037725D"/>
    <w:rsid w:val="00377A25"/>
    <w:rsid w:val="00377B13"/>
    <w:rsid w:val="003800B4"/>
    <w:rsid w:val="003809E0"/>
    <w:rsid w:val="003814E2"/>
    <w:rsid w:val="00381E88"/>
    <w:rsid w:val="003821F9"/>
    <w:rsid w:val="00382548"/>
    <w:rsid w:val="003827CD"/>
    <w:rsid w:val="00382CF6"/>
    <w:rsid w:val="00383A99"/>
    <w:rsid w:val="00383D6D"/>
    <w:rsid w:val="00384713"/>
    <w:rsid w:val="00384D2B"/>
    <w:rsid w:val="003852EF"/>
    <w:rsid w:val="003870EE"/>
    <w:rsid w:val="00387750"/>
    <w:rsid w:val="00387A01"/>
    <w:rsid w:val="00387FA9"/>
    <w:rsid w:val="0039016C"/>
    <w:rsid w:val="003904B4"/>
    <w:rsid w:val="00393452"/>
    <w:rsid w:val="00394AD3"/>
    <w:rsid w:val="00394C2C"/>
    <w:rsid w:val="00395441"/>
    <w:rsid w:val="003964A0"/>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CA2"/>
    <w:rsid w:val="003B5DFB"/>
    <w:rsid w:val="003B6220"/>
    <w:rsid w:val="003B636C"/>
    <w:rsid w:val="003B64ED"/>
    <w:rsid w:val="003B6F1F"/>
    <w:rsid w:val="003B76DC"/>
    <w:rsid w:val="003C09CF"/>
    <w:rsid w:val="003C1725"/>
    <w:rsid w:val="003C1E93"/>
    <w:rsid w:val="003C2161"/>
    <w:rsid w:val="003C3FAC"/>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4F77"/>
    <w:rsid w:val="003E52BE"/>
    <w:rsid w:val="003E6D92"/>
    <w:rsid w:val="003E6F85"/>
    <w:rsid w:val="003E70B9"/>
    <w:rsid w:val="003E7812"/>
    <w:rsid w:val="003F182B"/>
    <w:rsid w:val="003F1FE7"/>
    <w:rsid w:val="003F2136"/>
    <w:rsid w:val="003F277A"/>
    <w:rsid w:val="003F3190"/>
    <w:rsid w:val="003F31E6"/>
    <w:rsid w:val="003F40F9"/>
    <w:rsid w:val="003F4C40"/>
    <w:rsid w:val="003F52FE"/>
    <w:rsid w:val="003F580D"/>
    <w:rsid w:val="003F61D7"/>
    <w:rsid w:val="00401F3A"/>
    <w:rsid w:val="0040272E"/>
    <w:rsid w:val="00402A2A"/>
    <w:rsid w:val="00402EA0"/>
    <w:rsid w:val="00403387"/>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686"/>
    <w:rsid w:val="00422B8E"/>
    <w:rsid w:val="004233D8"/>
    <w:rsid w:val="0042438A"/>
    <w:rsid w:val="00426041"/>
    <w:rsid w:val="0042620B"/>
    <w:rsid w:val="00426CBC"/>
    <w:rsid w:val="00426FE6"/>
    <w:rsid w:val="00427756"/>
    <w:rsid w:val="00427CC0"/>
    <w:rsid w:val="0043002F"/>
    <w:rsid w:val="004302AA"/>
    <w:rsid w:val="004303B3"/>
    <w:rsid w:val="00430927"/>
    <w:rsid w:val="0043134E"/>
    <w:rsid w:val="0043162A"/>
    <w:rsid w:val="00432AFE"/>
    <w:rsid w:val="0043308A"/>
    <w:rsid w:val="00433113"/>
    <w:rsid w:val="004340D6"/>
    <w:rsid w:val="00434262"/>
    <w:rsid w:val="00436062"/>
    <w:rsid w:val="0043673C"/>
    <w:rsid w:val="00436801"/>
    <w:rsid w:val="00437DA0"/>
    <w:rsid w:val="00440ACF"/>
    <w:rsid w:val="004412CE"/>
    <w:rsid w:val="00441877"/>
    <w:rsid w:val="00442603"/>
    <w:rsid w:val="00442B95"/>
    <w:rsid w:val="00444898"/>
    <w:rsid w:val="004457E4"/>
    <w:rsid w:val="00445E88"/>
    <w:rsid w:val="004469BC"/>
    <w:rsid w:val="0044781C"/>
    <w:rsid w:val="004509F6"/>
    <w:rsid w:val="00453254"/>
    <w:rsid w:val="004532CC"/>
    <w:rsid w:val="0045366F"/>
    <w:rsid w:val="00453749"/>
    <w:rsid w:val="004539F0"/>
    <w:rsid w:val="00453F4D"/>
    <w:rsid w:val="00455D49"/>
    <w:rsid w:val="00455DF1"/>
    <w:rsid w:val="00456A0F"/>
    <w:rsid w:val="0046092C"/>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1C45"/>
    <w:rsid w:val="00472203"/>
    <w:rsid w:val="004722FE"/>
    <w:rsid w:val="00472A2C"/>
    <w:rsid w:val="004739B2"/>
    <w:rsid w:val="00473DED"/>
    <w:rsid w:val="00473ED0"/>
    <w:rsid w:val="00474070"/>
    <w:rsid w:val="00474ADA"/>
    <w:rsid w:val="004761F8"/>
    <w:rsid w:val="0047624F"/>
    <w:rsid w:val="00476551"/>
    <w:rsid w:val="00476764"/>
    <w:rsid w:val="00477506"/>
    <w:rsid w:val="00477994"/>
    <w:rsid w:val="00480ED0"/>
    <w:rsid w:val="004815FB"/>
    <w:rsid w:val="00481CB0"/>
    <w:rsid w:val="00482251"/>
    <w:rsid w:val="00482CC2"/>
    <w:rsid w:val="004835E4"/>
    <w:rsid w:val="004838F5"/>
    <w:rsid w:val="00483A00"/>
    <w:rsid w:val="00483D82"/>
    <w:rsid w:val="00484CF0"/>
    <w:rsid w:val="0048562B"/>
    <w:rsid w:val="004856F7"/>
    <w:rsid w:val="00485E98"/>
    <w:rsid w:val="00485EE5"/>
    <w:rsid w:val="00487169"/>
    <w:rsid w:val="00490539"/>
    <w:rsid w:val="00490732"/>
    <w:rsid w:val="004907EE"/>
    <w:rsid w:val="00490BAF"/>
    <w:rsid w:val="00490BBC"/>
    <w:rsid w:val="004910C2"/>
    <w:rsid w:val="00491342"/>
    <w:rsid w:val="00491B25"/>
    <w:rsid w:val="004923DC"/>
    <w:rsid w:val="004925DF"/>
    <w:rsid w:val="0049285A"/>
    <w:rsid w:val="004929D1"/>
    <w:rsid w:val="004939CA"/>
    <w:rsid w:val="004945C5"/>
    <w:rsid w:val="0049607E"/>
    <w:rsid w:val="00497D5C"/>
    <w:rsid w:val="004A114E"/>
    <w:rsid w:val="004A1D81"/>
    <w:rsid w:val="004A237A"/>
    <w:rsid w:val="004A243A"/>
    <w:rsid w:val="004A2756"/>
    <w:rsid w:val="004A49CD"/>
    <w:rsid w:val="004A4AED"/>
    <w:rsid w:val="004A58D1"/>
    <w:rsid w:val="004A5CB2"/>
    <w:rsid w:val="004A5E88"/>
    <w:rsid w:val="004A65C0"/>
    <w:rsid w:val="004A6C11"/>
    <w:rsid w:val="004B1E66"/>
    <w:rsid w:val="004B35AE"/>
    <w:rsid w:val="004B3D0B"/>
    <w:rsid w:val="004B4001"/>
    <w:rsid w:val="004B44B5"/>
    <w:rsid w:val="004B48C5"/>
    <w:rsid w:val="004B4B39"/>
    <w:rsid w:val="004B6EA9"/>
    <w:rsid w:val="004B735F"/>
    <w:rsid w:val="004B77FF"/>
    <w:rsid w:val="004C03A8"/>
    <w:rsid w:val="004C0BA0"/>
    <w:rsid w:val="004C0F0C"/>
    <w:rsid w:val="004C18BE"/>
    <w:rsid w:val="004C1C90"/>
    <w:rsid w:val="004C49FA"/>
    <w:rsid w:val="004C4C9B"/>
    <w:rsid w:val="004C4EA4"/>
    <w:rsid w:val="004C7C47"/>
    <w:rsid w:val="004D0388"/>
    <w:rsid w:val="004D0478"/>
    <w:rsid w:val="004D0A93"/>
    <w:rsid w:val="004D20F5"/>
    <w:rsid w:val="004D2AAB"/>
    <w:rsid w:val="004D34C0"/>
    <w:rsid w:val="004D34DD"/>
    <w:rsid w:val="004D382B"/>
    <w:rsid w:val="004D3B10"/>
    <w:rsid w:val="004D40AF"/>
    <w:rsid w:val="004D49D8"/>
    <w:rsid w:val="004D5256"/>
    <w:rsid w:val="004D6E8F"/>
    <w:rsid w:val="004D73A7"/>
    <w:rsid w:val="004D7BA3"/>
    <w:rsid w:val="004E1BE8"/>
    <w:rsid w:val="004E3B6D"/>
    <w:rsid w:val="004E3C6A"/>
    <w:rsid w:val="004E46B0"/>
    <w:rsid w:val="004E5024"/>
    <w:rsid w:val="004E5512"/>
    <w:rsid w:val="004E645B"/>
    <w:rsid w:val="004E71DE"/>
    <w:rsid w:val="004F1A36"/>
    <w:rsid w:val="004F3AC9"/>
    <w:rsid w:val="004F3E60"/>
    <w:rsid w:val="004F46F0"/>
    <w:rsid w:val="004F4F78"/>
    <w:rsid w:val="004F55EC"/>
    <w:rsid w:val="004F5841"/>
    <w:rsid w:val="005013A2"/>
    <w:rsid w:val="005019F1"/>
    <w:rsid w:val="0050209F"/>
    <w:rsid w:val="00502451"/>
    <w:rsid w:val="00502ABF"/>
    <w:rsid w:val="00502B15"/>
    <w:rsid w:val="0050386F"/>
    <w:rsid w:val="00503B71"/>
    <w:rsid w:val="00503D3F"/>
    <w:rsid w:val="005041D5"/>
    <w:rsid w:val="005071D2"/>
    <w:rsid w:val="00510526"/>
    <w:rsid w:val="00510823"/>
    <w:rsid w:val="00511063"/>
    <w:rsid w:val="005113A6"/>
    <w:rsid w:val="0051208D"/>
    <w:rsid w:val="00512AC8"/>
    <w:rsid w:val="00514D9A"/>
    <w:rsid w:val="00515789"/>
    <w:rsid w:val="00516DA1"/>
    <w:rsid w:val="005173BF"/>
    <w:rsid w:val="005201F1"/>
    <w:rsid w:val="00520ACC"/>
    <w:rsid w:val="00520B0B"/>
    <w:rsid w:val="005212D4"/>
    <w:rsid w:val="00522AA1"/>
    <w:rsid w:val="005230EF"/>
    <w:rsid w:val="0052415B"/>
    <w:rsid w:val="0052533C"/>
    <w:rsid w:val="00525CA0"/>
    <w:rsid w:val="00526313"/>
    <w:rsid w:val="005266CB"/>
    <w:rsid w:val="00526EBD"/>
    <w:rsid w:val="00527941"/>
    <w:rsid w:val="00527FBD"/>
    <w:rsid w:val="0053052D"/>
    <w:rsid w:val="0053069A"/>
    <w:rsid w:val="005308B0"/>
    <w:rsid w:val="005309DB"/>
    <w:rsid w:val="00530E1F"/>
    <w:rsid w:val="00533FCE"/>
    <w:rsid w:val="0053444E"/>
    <w:rsid w:val="005350FA"/>
    <w:rsid w:val="0053510C"/>
    <w:rsid w:val="005352C6"/>
    <w:rsid w:val="00535C8A"/>
    <w:rsid w:val="00535CD5"/>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3857"/>
    <w:rsid w:val="00554430"/>
    <w:rsid w:val="00555DCF"/>
    <w:rsid w:val="00555F85"/>
    <w:rsid w:val="00560551"/>
    <w:rsid w:val="00560B05"/>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06F8"/>
    <w:rsid w:val="00583A5E"/>
    <w:rsid w:val="005856D2"/>
    <w:rsid w:val="005864BB"/>
    <w:rsid w:val="005909A0"/>
    <w:rsid w:val="00590CD8"/>
    <w:rsid w:val="00591904"/>
    <w:rsid w:val="00593310"/>
    <w:rsid w:val="005939E4"/>
    <w:rsid w:val="0059593D"/>
    <w:rsid w:val="00595C4D"/>
    <w:rsid w:val="005960D5"/>
    <w:rsid w:val="00597142"/>
    <w:rsid w:val="00597498"/>
    <w:rsid w:val="0059767A"/>
    <w:rsid w:val="00597B28"/>
    <w:rsid w:val="005A0462"/>
    <w:rsid w:val="005A43FC"/>
    <w:rsid w:val="005A4F64"/>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6152"/>
    <w:rsid w:val="005C72E9"/>
    <w:rsid w:val="005C79F4"/>
    <w:rsid w:val="005D163E"/>
    <w:rsid w:val="005D2986"/>
    <w:rsid w:val="005D2D0B"/>
    <w:rsid w:val="005D33A6"/>
    <w:rsid w:val="005D3D8D"/>
    <w:rsid w:val="005D4199"/>
    <w:rsid w:val="005D4B30"/>
    <w:rsid w:val="005D4D03"/>
    <w:rsid w:val="005D5292"/>
    <w:rsid w:val="005D5470"/>
    <w:rsid w:val="005D637B"/>
    <w:rsid w:val="005D6C4A"/>
    <w:rsid w:val="005D6FD2"/>
    <w:rsid w:val="005E0829"/>
    <w:rsid w:val="005E0C6F"/>
    <w:rsid w:val="005E14F6"/>
    <w:rsid w:val="005E162C"/>
    <w:rsid w:val="005E26A1"/>
    <w:rsid w:val="005E2D33"/>
    <w:rsid w:val="005E34BF"/>
    <w:rsid w:val="005E46AD"/>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A9B"/>
    <w:rsid w:val="00627B69"/>
    <w:rsid w:val="00631631"/>
    <w:rsid w:val="00633754"/>
    <w:rsid w:val="00633D08"/>
    <w:rsid w:val="00635E85"/>
    <w:rsid w:val="00636D8C"/>
    <w:rsid w:val="006371FF"/>
    <w:rsid w:val="00643DD9"/>
    <w:rsid w:val="006444CA"/>
    <w:rsid w:val="0064466B"/>
    <w:rsid w:val="00644A75"/>
    <w:rsid w:val="00645B41"/>
    <w:rsid w:val="00646CF1"/>
    <w:rsid w:val="006472A0"/>
    <w:rsid w:val="00650768"/>
    <w:rsid w:val="00651512"/>
    <w:rsid w:val="00653665"/>
    <w:rsid w:val="00653E27"/>
    <w:rsid w:val="00653F0A"/>
    <w:rsid w:val="00654956"/>
    <w:rsid w:val="00654DE7"/>
    <w:rsid w:val="0065533C"/>
    <w:rsid w:val="00656A9D"/>
    <w:rsid w:val="00656F5E"/>
    <w:rsid w:val="00657991"/>
    <w:rsid w:val="00660D19"/>
    <w:rsid w:val="0066229E"/>
    <w:rsid w:val="00662CBC"/>
    <w:rsid w:val="00663A09"/>
    <w:rsid w:val="006673C9"/>
    <w:rsid w:val="0067038D"/>
    <w:rsid w:val="00671A6A"/>
    <w:rsid w:val="006729D2"/>
    <w:rsid w:val="00673ABF"/>
    <w:rsid w:val="00673F0C"/>
    <w:rsid w:val="00674B4E"/>
    <w:rsid w:val="00675531"/>
    <w:rsid w:val="00676223"/>
    <w:rsid w:val="006764FB"/>
    <w:rsid w:val="00676A38"/>
    <w:rsid w:val="0067775E"/>
    <w:rsid w:val="00680098"/>
    <w:rsid w:val="00680957"/>
    <w:rsid w:val="00682081"/>
    <w:rsid w:val="00682CFC"/>
    <w:rsid w:val="00683B13"/>
    <w:rsid w:val="00684C2D"/>
    <w:rsid w:val="00686325"/>
    <w:rsid w:val="00686EC4"/>
    <w:rsid w:val="00687063"/>
    <w:rsid w:val="0069086C"/>
    <w:rsid w:val="00691425"/>
    <w:rsid w:val="00695591"/>
    <w:rsid w:val="00695AF8"/>
    <w:rsid w:val="00695E17"/>
    <w:rsid w:val="00696763"/>
    <w:rsid w:val="00696C78"/>
    <w:rsid w:val="00696CDA"/>
    <w:rsid w:val="0069734A"/>
    <w:rsid w:val="00697B2E"/>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07FE"/>
    <w:rsid w:val="006C42CE"/>
    <w:rsid w:val="006C4A33"/>
    <w:rsid w:val="006C5486"/>
    <w:rsid w:val="006C592D"/>
    <w:rsid w:val="006C5D93"/>
    <w:rsid w:val="006C74B3"/>
    <w:rsid w:val="006C7EF9"/>
    <w:rsid w:val="006D0796"/>
    <w:rsid w:val="006D17F4"/>
    <w:rsid w:val="006D209C"/>
    <w:rsid w:val="006D34E4"/>
    <w:rsid w:val="006D3791"/>
    <w:rsid w:val="006D39EB"/>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6F659B"/>
    <w:rsid w:val="00700449"/>
    <w:rsid w:val="00700A73"/>
    <w:rsid w:val="007015E9"/>
    <w:rsid w:val="00701DF9"/>
    <w:rsid w:val="0070238A"/>
    <w:rsid w:val="00702886"/>
    <w:rsid w:val="00702A10"/>
    <w:rsid w:val="0070394A"/>
    <w:rsid w:val="007040A1"/>
    <w:rsid w:val="0070484E"/>
    <w:rsid w:val="007049E5"/>
    <w:rsid w:val="00704ED8"/>
    <w:rsid w:val="007054F6"/>
    <w:rsid w:val="00705AE8"/>
    <w:rsid w:val="0070601C"/>
    <w:rsid w:val="0070630B"/>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277B"/>
    <w:rsid w:val="00723E51"/>
    <w:rsid w:val="00725CF6"/>
    <w:rsid w:val="00725F23"/>
    <w:rsid w:val="007267EB"/>
    <w:rsid w:val="0072737A"/>
    <w:rsid w:val="00730159"/>
    <w:rsid w:val="00730C0D"/>
    <w:rsid w:val="0073129C"/>
    <w:rsid w:val="00731C60"/>
    <w:rsid w:val="00731D68"/>
    <w:rsid w:val="007339DB"/>
    <w:rsid w:val="007340ED"/>
    <w:rsid w:val="007356FC"/>
    <w:rsid w:val="00735A44"/>
    <w:rsid w:val="00735CE3"/>
    <w:rsid w:val="00736DD5"/>
    <w:rsid w:val="00737253"/>
    <w:rsid w:val="007372BE"/>
    <w:rsid w:val="0073765E"/>
    <w:rsid w:val="007407D3"/>
    <w:rsid w:val="0074101E"/>
    <w:rsid w:val="0074150A"/>
    <w:rsid w:val="00741FEC"/>
    <w:rsid w:val="007433D3"/>
    <w:rsid w:val="00743939"/>
    <w:rsid w:val="00743A86"/>
    <w:rsid w:val="00743F1B"/>
    <w:rsid w:val="0074430F"/>
    <w:rsid w:val="007448B9"/>
    <w:rsid w:val="007461C3"/>
    <w:rsid w:val="007468E9"/>
    <w:rsid w:val="00746BED"/>
    <w:rsid w:val="00746E9B"/>
    <w:rsid w:val="00747D71"/>
    <w:rsid w:val="00750288"/>
    <w:rsid w:val="00751BF1"/>
    <w:rsid w:val="00752F14"/>
    <w:rsid w:val="007537F1"/>
    <w:rsid w:val="00755C58"/>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776"/>
    <w:rsid w:val="00767809"/>
    <w:rsid w:val="007714AE"/>
    <w:rsid w:val="00773845"/>
    <w:rsid w:val="0077605D"/>
    <w:rsid w:val="00776AC8"/>
    <w:rsid w:val="0077746C"/>
    <w:rsid w:val="007806D6"/>
    <w:rsid w:val="00780896"/>
    <w:rsid w:val="00780E48"/>
    <w:rsid w:val="00780FF2"/>
    <w:rsid w:val="007815A1"/>
    <w:rsid w:val="00783BF6"/>
    <w:rsid w:val="00783F46"/>
    <w:rsid w:val="007845D3"/>
    <w:rsid w:val="0078501F"/>
    <w:rsid w:val="00785229"/>
    <w:rsid w:val="007905BD"/>
    <w:rsid w:val="0079186B"/>
    <w:rsid w:val="007919EE"/>
    <w:rsid w:val="00793312"/>
    <w:rsid w:val="0079391A"/>
    <w:rsid w:val="00794B5C"/>
    <w:rsid w:val="00796A9E"/>
    <w:rsid w:val="00796D05"/>
    <w:rsid w:val="007970C0"/>
    <w:rsid w:val="00797687"/>
    <w:rsid w:val="007A0BE3"/>
    <w:rsid w:val="007A1ABD"/>
    <w:rsid w:val="007A25AF"/>
    <w:rsid w:val="007A302A"/>
    <w:rsid w:val="007A30A5"/>
    <w:rsid w:val="007A3335"/>
    <w:rsid w:val="007A3DCF"/>
    <w:rsid w:val="007A462C"/>
    <w:rsid w:val="007A4C40"/>
    <w:rsid w:val="007A53B6"/>
    <w:rsid w:val="007A5FB9"/>
    <w:rsid w:val="007A664A"/>
    <w:rsid w:val="007A70C6"/>
    <w:rsid w:val="007B0CF1"/>
    <w:rsid w:val="007B11B5"/>
    <w:rsid w:val="007B11D0"/>
    <w:rsid w:val="007B1CB5"/>
    <w:rsid w:val="007B27E9"/>
    <w:rsid w:val="007B2987"/>
    <w:rsid w:val="007B40EF"/>
    <w:rsid w:val="007B5FDA"/>
    <w:rsid w:val="007B6132"/>
    <w:rsid w:val="007B6A8F"/>
    <w:rsid w:val="007B6E43"/>
    <w:rsid w:val="007B70D3"/>
    <w:rsid w:val="007B7835"/>
    <w:rsid w:val="007C0C5F"/>
    <w:rsid w:val="007C1116"/>
    <w:rsid w:val="007C3596"/>
    <w:rsid w:val="007C3AA6"/>
    <w:rsid w:val="007C495E"/>
    <w:rsid w:val="007C4B93"/>
    <w:rsid w:val="007C4C25"/>
    <w:rsid w:val="007C4EF2"/>
    <w:rsid w:val="007C55D4"/>
    <w:rsid w:val="007C708E"/>
    <w:rsid w:val="007C76DD"/>
    <w:rsid w:val="007D093F"/>
    <w:rsid w:val="007D0BE8"/>
    <w:rsid w:val="007D0D6D"/>
    <w:rsid w:val="007D2DCB"/>
    <w:rsid w:val="007D36CA"/>
    <w:rsid w:val="007D4C02"/>
    <w:rsid w:val="007D510B"/>
    <w:rsid w:val="007D5920"/>
    <w:rsid w:val="007D6496"/>
    <w:rsid w:val="007D6731"/>
    <w:rsid w:val="007D6837"/>
    <w:rsid w:val="007D7001"/>
    <w:rsid w:val="007D782F"/>
    <w:rsid w:val="007D79B4"/>
    <w:rsid w:val="007D7E87"/>
    <w:rsid w:val="007E0FEC"/>
    <w:rsid w:val="007E1666"/>
    <w:rsid w:val="007E1DC4"/>
    <w:rsid w:val="007E1ECC"/>
    <w:rsid w:val="007E29A8"/>
    <w:rsid w:val="007E2A09"/>
    <w:rsid w:val="007E2A1D"/>
    <w:rsid w:val="007E3676"/>
    <w:rsid w:val="007E40DD"/>
    <w:rsid w:val="007E4D5F"/>
    <w:rsid w:val="007E5A59"/>
    <w:rsid w:val="007E6702"/>
    <w:rsid w:val="007E7C73"/>
    <w:rsid w:val="007F0225"/>
    <w:rsid w:val="007F0AC8"/>
    <w:rsid w:val="007F10CE"/>
    <w:rsid w:val="007F167C"/>
    <w:rsid w:val="007F2054"/>
    <w:rsid w:val="007F2066"/>
    <w:rsid w:val="007F2B93"/>
    <w:rsid w:val="007F4005"/>
    <w:rsid w:val="007F44BC"/>
    <w:rsid w:val="007F64E9"/>
    <w:rsid w:val="007F7EFE"/>
    <w:rsid w:val="007F7F51"/>
    <w:rsid w:val="008004E5"/>
    <w:rsid w:val="00800B11"/>
    <w:rsid w:val="0080100B"/>
    <w:rsid w:val="00801BBC"/>
    <w:rsid w:val="00801E06"/>
    <w:rsid w:val="00802558"/>
    <w:rsid w:val="00802684"/>
    <w:rsid w:val="008032B2"/>
    <w:rsid w:val="00804380"/>
    <w:rsid w:val="00804490"/>
    <w:rsid w:val="00805F5F"/>
    <w:rsid w:val="00806016"/>
    <w:rsid w:val="00806655"/>
    <w:rsid w:val="00806B2A"/>
    <w:rsid w:val="008071EA"/>
    <w:rsid w:val="00810DA4"/>
    <w:rsid w:val="00813597"/>
    <w:rsid w:val="0081432B"/>
    <w:rsid w:val="008146A2"/>
    <w:rsid w:val="00814A29"/>
    <w:rsid w:val="00816975"/>
    <w:rsid w:val="008252B0"/>
    <w:rsid w:val="008259B8"/>
    <w:rsid w:val="00825ADA"/>
    <w:rsid w:val="00825DEA"/>
    <w:rsid w:val="0082667C"/>
    <w:rsid w:val="008269BB"/>
    <w:rsid w:val="00826C36"/>
    <w:rsid w:val="00827362"/>
    <w:rsid w:val="008279A8"/>
    <w:rsid w:val="00827E59"/>
    <w:rsid w:val="00830FC0"/>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4FB1"/>
    <w:rsid w:val="00847A9C"/>
    <w:rsid w:val="00850D95"/>
    <w:rsid w:val="00852DCB"/>
    <w:rsid w:val="00854477"/>
    <w:rsid w:val="00855674"/>
    <w:rsid w:val="00855ED4"/>
    <w:rsid w:val="00856A85"/>
    <w:rsid w:val="00861F9F"/>
    <w:rsid w:val="0086291A"/>
    <w:rsid w:val="00862D4F"/>
    <w:rsid w:val="00863036"/>
    <w:rsid w:val="008642AC"/>
    <w:rsid w:val="00865150"/>
    <w:rsid w:val="008657B6"/>
    <w:rsid w:val="008657C0"/>
    <w:rsid w:val="00870406"/>
    <w:rsid w:val="0087108B"/>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5AF7"/>
    <w:rsid w:val="00885EAF"/>
    <w:rsid w:val="008862BD"/>
    <w:rsid w:val="008863E8"/>
    <w:rsid w:val="00887A74"/>
    <w:rsid w:val="008917E7"/>
    <w:rsid w:val="00891802"/>
    <w:rsid w:val="00892AA0"/>
    <w:rsid w:val="0089626D"/>
    <w:rsid w:val="008962E9"/>
    <w:rsid w:val="0089653C"/>
    <w:rsid w:val="00896CA9"/>
    <w:rsid w:val="00896DD8"/>
    <w:rsid w:val="008A0DE6"/>
    <w:rsid w:val="008A16A9"/>
    <w:rsid w:val="008A1FF5"/>
    <w:rsid w:val="008A233D"/>
    <w:rsid w:val="008A237E"/>
    <w:rsid w:val="008A2CFF"/>
    <w:rsid w:val="008A3BD1"/>
    <w:rsid w:val="008A447D"/>
    <w:rsid w:val="008A4AF5"/>
    <w:rsid w:val="008A4EFA"/>
    <w:rsid w:val="008A62A5"/>
    <w:rsid w:val="008A7E2E"/>
    <w:rsid w:val="008B04D8"/>
    <w:rsid w:val="008B266F"/>
    <w:rsid w:val="008B3124"/>
    <w:rsid w:val="008B5749"/>
    <w:rsid w:val="008B6744"/>
    <w:rsid w:val="008B72A5"/>
    <w:rsid w:val="008B7762"/>
    <w:rsid w:val="008B7E82"/>
    <w:rsid w:val="008C0421"/>
    <w:rsid w:val="008C1918"/>
    <w:rsid w:val="008C1A51"/>
    <w:rsid w:val="008C283D"/>
    <w:rsid w:val="008C2A4A"/>
    <w:rsid w:val="008C2F29"/>
    <w:rsid w:val="008C3202"/>
    <w:rsid w:val="008C4AD0"/>
    <w:rsid w:val="008C6B30"/>
    <w:rsid w:val="008D3033"/>
    <w:rsid w:val="008D4091"/>
    <w:rsid w:val="008D493B"/>
    <w:rsid w:val="008D4A7C"/>
    <w:rsid w:val="008D51DA"/>
    <w:rsid w:val="008D53A9"/>
    <w:rsid w:val="008D5615"/>
    <w:rsid w:val="008D59CC"/>
    <w:rsid w:val="008D5C71"/>
    <w:rsid w:val="008D5F0D"/>
    <w:rsid w:val="008D683A"/>
    <w:rsid w:val="008E0359"/>
    <w:rsid w:val="008E05D2"/>
    <w:rsid w:val="008E0805"/>
    <w:rsid w:val="008E08ED"/>
    <w:rsid w:val="008E0FFB"/>
    <w:rsid w:val="008E25B1"/>
    <w:rsid w:val="008E2B4D"/>
    <w:rsid w:val="008E3094"/>
    <w:rsid w:val="008E3295"/>
    <w:rsid w:val="008E4A5F"/>
    <w:rsid w:val="008E536D"/>
    <w:rsid w:val="008E55EA"/>
    <w:rsid w:val="008E5926"/>
    <w:rsid w:val="008E5AAE"/>
    <w:rsid w:val="008E637E"/>
    <w:rsid w:val="008E6C15"/>
    <w:rsid w:val="008E75C5"/>
    <w:rsid w:val="008E7887"/>
    <w:rsid w:val="008E7922"/>
    <w:rsid w:val="008E7E6E"/>
    <w:rsid w:val="008F007E"/>
    <w:rsid w:val="008F0671"/>
    <w:rsid w:val="008F08D7"/>
    <w:rsid w:val="008F1194"/>
    <w:rsid w:val="008F1884"/>
    <w:rsid w:val="008F206D"/>
    <w:rsid w:val="008F237A"/>
    <w:rsid w:val="008F2796"/>
    <w:rsid w:val="008F34D3"/>
    <w:rsid w:val="008F3BD8"/>
    <w:rsid w:val="008F603A"/>
    <w:rsid w:val="008F6A2F"/>
    <w:rsid w:val="008F6B5E"/>
    <w:rsid w:val="008F6FA1"/>
    <w:rsid w:val="008F755E"/>
    <w:rsid w:val="008F79D0"/>
    <w:rsid w:val="009008B1"/>
    <w:rsid w:val="00901F58"/>
    <w:rsid w:val="00902015"/>
    <w:rsid w:val="00903531"/>
    <w:rsid w:val="00904A65"/>
    <w:rsid w:val="00904DC3"/>
    <w:rsid w:val="00904E2E"/>
    <w:rsid w:val="00905728"/>
    <w:rsid w:val="00905793"/>
    <w:rsid w:val="00907263"/>
    <w:rsid w:val="0090729C"/>
    <w:rsid w:val="00907E8B"/>
    <w:rsid w:val="009123F6"/>
    <w:rsid w:val="00913E2A"/>
    <w:rsid w:val="0091468D"/>
    <w:rsid w:val="0091475E"/>
    <w:rsid w:val="009163B6"/>
    <w:rsid w:val="00916B61"/>
    <w:rsid w:val="00916DC0"/>
    <w:rsid w:val="00917091"/>
    <w:rsid w:val="0091716A"/>
    <w:rsid w:val="00917D6C"/>
    <w:rsid w:val="00917ED2"/>
    <w:rsid w:val="00917F42"/>
    <w:rsid w:val="009202F4"/>
    <w:rsid w:val="009205E3"/>
    <w:rsid w:val="009217A9"/>
    <w:rsid w:val="00922F29"/>
    <w:rsid w:val="009231E6"/>
    <w:rsid w:val="00924303"/>
    <w:rsid w:val="00924926"/>
    <w:rsid w:val="00924ED9"/>
    <w:rsid w:val="0092594C"/>
    <w:rsid w:val="009277E9"/>
    <w:rsid w:val="00927BBC"/>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5459"/>
    <w:rsid w:val="009563AA"/>
    <w:rsid w:val="00957B91"/>
    <w:rsid w:val="0096004E"/>
    <w:rsid w:val="009623A4"/>
    <w:rsid w:val="00963229"/>
    <w:rsid w:val="009637F5"/>
    <w:rsid w:val="00963D51"/>
    <w:rsid w:val="0096515A"/>
    <w:rsid w:val="0096573E"/>
    <w:rsid w:val="00965C79"/>
    <w:rsid w:val="00966491"/>
    <w:rsid w:val="00966601"/>
    <w:rsid w:val="00967094"/>
    <w:rsid w:val="00970079"/>
    <w:rsid w:val="009700A9"/>
    <w:rsid w:val="009703C9"/>
    <w:rsid w:val="00970A79"/>
    <w:rsid w:val="00971E20"/>
    <w:rsid w:val="009721C8"/>
    <w:rsid w:val="00973C9C"/>
    <w:rsid w:val="00974726"/>
    <w:rsid w:val="009752BD"/>
    <w:rsid w:val="009758CF"/>
    <w:rsid w:val="00975C56"/>
    <w:rsid w:val="00976D44"/>
    <w:rsid w:val="009835C4"/>
    <w:rsid w:val="00983D02"/>
    <w:rsid w:val="0098672A"/>
    <w:rsid w:val="009868F8"/>
    <w:rsid w:val="00986DB7"/>
    <w:rsid w:val="00987B88"/>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42D"/>
    <w:rsid w:val="009A5983"/>
    <w:rsid w:val="009A5C14"/>
    <w:rsid w:val="009A6DC0"/>
    <w:rsid w:val="009A7763"/>
    <w:rsid w:val="009A7A9E"/>
    <w:rsid w:val="009A7B95"/>
    <w:rsid w:val="009B05E8"/>
    <w:rsid w:val="009B05F1"/>
    <w:rsid w:val="009B126C"/>
    <w:rsid w:val="009B1592"/>
    <w:rsid w:val="009B1936"/>
    <w:rsid w:val="009B19B4"/>
    <w:rsid w:val="009B23A7"/>
    <w:rsid w:val="009B2CF2"/>
    <w:rsid w:val="009B45E7"/>
    <w:rsid w:val="009B493A"/>
    <w:rsid w:val="009B4DE3"/>
    <w:rsid w:val="009B62CB"/>
    <w:rsid w:val="009B6612"/>
    <w:rsid w:val="009B6A55"/>
    <w:rsid w:val="009B778D"/>
    <w:rsid w:val="009C0652"/>
    <w:rsid w:val="009C0F3B"/>
    <w:rsid w:val="009C158C"/>
    <w:rsid w:val="009C196E"/>
    <w:rsid w:val="009C2D0F"/>
    <w:rsid w:val="009C364A"/>
    <w:rsid w:val="009C3B52"/>
    <w:rsid w:val="009C4A6F"/>
    <w:rsid w:val="009C55EA"/>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83"/>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15"/>
    <w:rsid w:val="009F1BCB"/>
    <w:rsid w:val="009F2488"/>
    <w:rsid w:val="009F3650"/>
    <w:rsid w:val="009F428F"/>
    <w:rsid w:val="009F5FB6"/>
    <w:rsid w:val="009F6362"/>
    <w:rsid w:val="009F6E81"/>
    <w:rsid w:val="009F7321"/>
    <w:rsid w:val="009F7500"/>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34BC"/>
    <w:rsid w:val="00A1446C"/>
    <w:rsid w:val="00A14857"/>
    <w:rsid w:val="00A14944"/>
    <w:rsid w:val="00A17F32"/>
    <w:rsid w:val="00A2017E"/>
    <w:rsid w:val="00A2337E"/>
    <w:rsid w:val="00A23EB7"/>
    <w:rsid w:val="00A24A28"/>
    <w:rsid w:val="00A24FA6"/>
    <w:rsid w:val="00A2547A"/>
    <w:rsid w:val="00A261BA"/>
    <w:rsid w:val="00A32AE5"/>
    <w:rsid w:val="00A3367C"/>
    <w:rsid w:val="00A343D4"/>
    <w:rsid w:val="00A370F2"/>
    <w:rsid w:val="00A403A8"/>
    <w:rsid w:val="00A404B2"/>
    <w:rsid w:val="00A406CF"/>
    <w:rsid w:val="00A406D2"/>
    <w:rsid w:val="00A40D2D"/>
    <w:rsid w:val="00A41901"/>
    <w:rsid w:val="00A41B44"/>
    <w:rsid w:val="00A41CE3"/>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0F1"/>
    <w:rsid w:val="00A5721B"/>
    <w:rsid w:val="00A57EF6"/>
    <w:rsid w:val="00A57FD5"/>
    <w:rsid w:val="00A60463"/>
    <w:rsid w:val="00A60D31"/>
    <w:rsid w:val="00A61B87"/>
    <w:rsid w:val="00A62028"/>
    <w:rsid w:val="00A62A2F"/>
    <w:rsid w:val="00A62FE0"/>
    <w:rsid w:val="00A6320B"/>
    <w:rsid w:val="00A6397B"/>
    <w:rsid w:val="00A6444C"/>
    <w:rsid w:val="00A64491"/>
    <w:rsid w:val="00A64CBD"/>
    <w:rsid w:val="00A65141"/>
    <w:rsid w:val="00A6534F"/>
    <w:rsid w:val="00A66DA4"/>
    <w:rsid w:val="00A70638"/>
    <w:rsid w:val="00A71053"/>
    <w:rsid w:val="00A7176E"/>
    <w:rsid w:val="00A71B13"/>
    <w:rsid w:val="00A74126"/>
    <w:rsid w:val="00A742A4"/>
    <w:rsid w:val="00A7441C"/>
    <w:rsid w:val="00A745D2"/>
    <w:rsid w:val="00A74951"/>
    <w:rsid w:val="00A75036"/>
    <w:rsid w:val="00A7606A"/>
    <w:rsid w:val="00A7612D"/>
    <w:rsid w:val="00A76C4C"/>
    <w:rsid w:val="00A7702A"/>
    <w:rsid w:val="00A80332"/>
    <w:rsid w:val="00A80D18"/>
    <w:rsid w:val="00A82048"/>
    <w:rsid w:val="00A83402"/>
    <w:rsid w:val="00A84413"/>
    <w:rsid w:val="00A85069"/>
    <w:rsid w:val="00A851D3"/>
    <w:rsid w:val="00A85C99"/>
    <w:rsid w:val="00A85E54"/>
    <w:rsid w:val="00A86059"/>
    <w:rsid w:val="00A8667F"/>
    <w:rsid w:val="00A8682A"/>
    <w:rsid w:val="00A877EA"/>
    <w:rsid w:val="00A90434"/>
    <w:rsid w:val="00A90848"/>
    <w:rsid w:val="00A90D5D"/>
    <w:rsid w:val="00A919A8"/>
    <w:rsid w:val="00A943CD"/>
    <w:rsid w:val="00A94817"/>
    <w:rsid w:val="00A95E04"/>
    <w:rsid w:val="00A9702D"/>
    <w:rsid w:val="00AA0847"/>
    <w:rsid w:val="00AA09CE"/>
    <w:rsid w:val="00AA0DAC"/>
    <w:rsid w:val="00AA109A"/>
    <w:rsid w:val="00AA184D"/>
    <w:rsid w:val="00AA21D4"/>
    <w:rsid w:val="00AA2273"/>
    <w:rsid w:val="00AA3ADF"/>
    <w:rsid w:val="00AA4064"/>
    <w:rsid w:val="00AA4180"/>
    <w:rsid w:val="00AA41D9"/>
    <w:rsid w:val="00AA4411"/>
    <w:rsid w:val="00AA4945"/>
    <w:rsid w:val="00AA4CB2"/>
    <w:rsid w:val="00AA4D15"/>
    <w:rsid w:val="00AA4F18"/>
    <w:rsid w:val="00AA7124"/>
    <w:rsid w:val="00AA7490"/>
    <w:rsid w:val="00AA7EB9"/>
    <w:rsid w:val="00AB0321"/>
    <w:rsid w:val="00AB1B43"/>
    <w:rsid w:val="00AB21EA"/>
    <w:rsid w:val="00AB29DA"/>
    <w:rsid w:val="00AB2D5C"/>
    <w:rsid w:val="00AB3BFD"/>
    <w:rsid w:val="00AB516D"/>
    <w:rsid w:val="00AB51C0"/>
    <w:rsid w:val="00AB538D"/>
    <w:rsid w:val="00AB70F7"/>
    <w:rsid w:val="00AC078F"/>
    <w:rsid w:val="00AC12F5"/>
    <w:rsid w:val="00AC2A9D"/>
    <w:rsid w:val="00AC56CE"/>
    <w:rsid w:val="00AC59CF"/>
    <w:rsid w:val="00AC604F"/>
    <w:rsid w:val="00AC71B2"/>
    <w:rsid w:val="00AC7414"/>
    <w:rsid w:val="00AC79C0"/>
    <w:rsid w:val="00AD1227"/>
    <w:rsid w:val="00AD21DC"/>
    <w:rsid w:val="00AD2321"/>
    <w:rsid w:val="00AD240B"/>
    <w:rsid w:val="00AD2F15"/>
    <w:rsid w:val="00AD34FD"/>
    <w:rsid w:val="00AD4224"/>
    <w:rsid w:val="00AD4E75"/>
    <w:rsid w:val="00AD6DC7"/>
    <w:rsid w:val="00AD74C8"/>
    <w:rsid w:val="00AD7FF6"/>
    <w:rsid w:val="00AE047F"/>
    <w:rsid w:val="00AE2F67"/>
    <w:rsid w:val="00AE3181"/>
    <w:rsid w:val="00AE357C"/>
    <w:rsid w:val="00AE4CB1"/>
    <w:rsid w:val="00AE6795"/>
    <w:rsid w:val="00AE6D50"/>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3AE6"/>
    <w:rsid w:val="00B04BED"/>
    <w:rsid w:val="00B05204"/>
    <w:rsid w:val="00B06A7F"/>
    <w:rsid w:val="00B10470"/>
    <w:rsid w:val="00B10AEC"/>
    <w:rsid w:val="00B12515"/>
    <w:rsid w:val="00B1367C"/>
    <w:rsid w:val="00B15453"/>
    <w:rsid w:val="00B15D86"/>
    <w:rsid w:val="00B16963"/>
    <w:rsid w:val="00B1774E"/>
    <w:rsid w:val="00B17E9C"/>
    <w:rsid w:val="00B2044E"/>
    <w:rsid w:val="00B2285C"/>
    <w:rsid w:val="00B22942"/>
    <w:rsid w:val="00B23368"/>
    <w:rsid w:val="00B234B3"/>
    <w:rsid w:val="00B23BB3"/>
    <w:rsid w:val="00B23C9D"/>
    <w:rsid w:val="00B24FA2"/>
    <w:rsid w:val="00B250AC"/>
    <w:rsid w:val="00B26121"/>
    <w:rsid w:val="00B266B6"/>
    <w:rsid w:val="00B267B6"/>
    <w:rsid w:val="00B2696E"/>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10F6"/>
    <w:rsid w:val="00B42F46"/>
    <w:rsid w:val="00B4322A"/>
    <w:rsid w:val="00B432A2"/>
    <w:rsid w:val="00B43D87"/>
    <w:rsid w:val="00B45440"/>
    <w:rsid w:val="00B4580B"/>
    <w:rsid w:val="00B4724A"/>
    <w:rsid w:val="00B50405"/>
    <w:rsid w:val="00B51977"/>
    <w:rsid w:val="00B53BE1"/>
    <w:rsid w:val="00B54266"/>
    <w:rsid w:val="00B5466A"/>
    <w:rsid w:val="00B546E5"/>
    <w:rsid w:val="00B54E07"/>
    <w:rsid w:val="00B565C8"/>
    <w:rsid w:val="00B56CE1"/>
    <w:rsid w:val="00B575ED"/>
    <w:rsid w:val="00B5785B"/>
    <w:rsid w:val="00B57F78"/>
    <w:rsid w:val="00B61952"/>
    <w:rsid w:val="00B625E0"/>
    <w:rsid w:val="00B62F9E"/>
    <w:rsid w:val="00B6326B"/>
    <w:rsid w:val="00B64124"/>
    <w:rsid w:val="00B64B57"/>
    <w:rsid w:val="00B65A04"/>
    <w:rsid w:val="00B66F7A"/>
    <w:rsid w:val="00B67ED0"/>
    <w:rsid w:val="00B7010C"/>
    <w:rsid w:val="00B704AF"/>
    <w:rsid w:val="00B708EA"/>
    <w:rsid w:val="00B70ABC"/>
    <w:rsid w:val="00B70E53"/>
    <w:rsid w:val="00B71451"/>
    <w:rsid w:val="00B74278"/>
    <w:rsid w:val="00B74705"/>
    <w:rsid w:val="00B74730"/>
    <w:rsid w:val="00B75149"/>
    <w:rsid w:val="00B75F1C"/>
    <w:rsid w:val="00B803D6"/>
    <w:rsid w:val="00B81460"/>
    <w:rsid w:val="00B819B6"/>
    <w:rsid w:val="00B83257"/>
    <w:rsid w:val="00B83A93"/>
    <w:rsid w:val="00B86B21"/>
    <w:rsid w:val="00B87871"/>
    <w:rsid w:val="00B903E3"/>
    <w:rsid w:val="00B911C2"/>
    <w:rsid w:val="00B9179C"/>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E0A"/>
    <w:rsid w:val="00BC6FDF"/>
    <w:rsid w:val="00BC7725"/>
    <w:rsid w:val="00BC7AE4"/>
    <w:rsid w:val="00BC7D79"/>
    <w:rsid w:val="00BC7D81"/>
    <w:rsid w:val="00BD02DD"/>
    <w:rsid w:val="00BD09E2"/>
    <w:rsid w:val="00BD2234"/>
    <w:rsid w:val="00BD38DF"/>
    <w:rsid w:val="00BD4A4B"/>
    <w:rsid w:val="00BD4C27"/>
    <w:rsid w:val="00BD626E"/>
    <w:rsid w:val="00BD6E92"/>
    <w:rsid w:val="00BD759F"/>
    <w:rsid w:val="00BD7A22"/>
    <w:rsid w:val="00BE05BB"/>
    <w:rsid w:val="00BE0F25"/>
    <w:rsid w:val="00BE207E"/>
    <w:rsid w:val="00BE274E"/>
    <w:rsid w:val="00BE2B1B"/>
    <w:rsid w:val="00BE336C"/>
    <w:rsid w:val="00BE3FEB"/>
    <w:rsid w:val="00BE4B81"/>
    <w:rsid w:val="00BE4C01"/>
    <w:rsid w:val="00BE4D2C"/>
    <w:rsid w:val="00BE74DF"/>
    <w:rsid w:val="00BE7988"/>
    <w:rsid w:val="00BE7F6B"/>
    <w:rsid w:val="00BF0382"/>
    <w:rsid w:val="00BF082E"/>
    <w:rsid w:val="00BF0FC4"/>
    <w:rsid w:val="00BF1E0A"/>
    <w:rsid w:val="00BF2568"/>
    <w:rsid w:val="00BF27E9"/>
    <w:rsid w:val="00BF2D62"/>
    <w:rsid w:val="00BF4212"/>
    <w:rsid w:val="00BF5F68"/>
    <w:rsid w:val="00BF694E"/>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5E2D"/>
    <w:rsid w:val="00C260F7"/>
    <w:rsid w:val="00C266D3"/>
    <w:rsid w:val="00C266DA"/>
    <w:rsid w:val="00C26FE9"/>
    <w:rsid w:val="00C27941"/>
    <w:rsid w:val="00C27BD3"/>
    <w:rsid w:val="00C27D03"/>
    <w:rsid w:val="00C31095"/>
    <w:rsid w:val="00C31607"/>
    <w:rsid w:val="00C31721"/>
    <w:rsid w:val="00C32321"/>
    <w:rsid w:val="00C32332"/>
    <w:rsid w:val="00C349F0"/>
    <w:rsid w:val="00C34A1E"/>
    <w:rsid w:val="00C34C4A"/>
    <w:rsid w:val="00C3720B"/>
    <w:rsid w:val="00C3793F"/>
    <w:rsid w:val="00C37982"/>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43D"/>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0578"/>
    <w:rsid w:val="00C72223"/>
    <w:rsid w:val="00C734C0"/>
    <w:rsid w:val="00C73966"/>
    <w:rsid w:val="00C7422F"/>
    <w:rsid w:val="00C751BF"/>
    <w:rsid w:val="00C762C7"/>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361"/>
    <w:rsid w:val="00CC5F27"/>
    <w:rsid w:val="00CC63FE"/>
    <w:rsid w:val="00CC661E"/>
    <w:rsid w:val="00CC6760"/>
    <w:rsid w:val="00CC7437"/>
    <w:rsid w:val="00CD1841"/>
    <w:rsid w:val="00CD20E1"/>
    <w:rsid w:val="00CD2951"/>
    <w:rsid w:val="00CD2ABD"/>
    <w:rsid w:val="00CD3BBB"/>
    <w:rsid w:val="00CD3C54"/>
    <w:rsid w:val="00CD6CCD"/>
    <w:rsid w:val="00CE106C"/>
    <w:rsid w:val="00CE3521"/>
    <w:rsid w:val="00CE3BC2"/>
    <w:rsid w:val="00CE5723"/>
    <w:rsid w:val="00CE6ED8"/>
    <w:rsid w:val="00CE74C3"/>
    <w:rsid w:val="00CF0EFF"/>
    <w:rsid w:val="00CF1168"/>
    <w:rsid w:val="00CF1C88"/>
    <w:rsid w:val="00CF3FC7"/>
    <w:rsid w:val="00CF4077"/>
    <w:rsid w:val="00CF4841"/>
    <w:rsid w:val="00CF4C52"/>
    <w:rsid w:val="00CF5493"/>
    <w:rsid w:val="00CF67D8"/>
    <w:rsid w:val="00CF694E"/>
    <w:rsid w:val="00CF6AF1"/>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5CD5"/>
    <w:rsid w:val="00D15E15"/>
    <w:rsid w:val="00D160C0"/>
    <w:rsid w:val="00D174F0"/>
    <w:rsid w:val="00D175B7"/>
    <w:rsid w:val="00D17707"/>
    <w:rsid w:val="00D20C87"/>
    <w:rsid w:val="00D21DD1"/>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27"/>
    <w:rsid w:val="00D4229B"/>
    <w:rsid w:val="00D42F0B"/>
    <w:rsid w:val="00D42F78"/>
    <w:rsid w:val="00D43A3F"/>
    <w:rsid w:val="00D44B7B"/>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090E"/>
    <w:rsid w:val="00D60FEA"/>
    <w:rsid w:val="00D62A8B"/>
    <w:rsid w:val="00D63043"/>
    <w:rsid w:val="00D63B87"/>
    <w:rsid w:val="00D67005"/>
    <w:rsid w:val="00D67843"/>
    <w:rsid w:val="00D7037D"/>
    <w:rsid w:val="00D71595"/>
    <w:rsid w:val="00D71741"/>
    <w:rsid w:val="00D71B33"/>
    <w:rsid w:val="00D72122"/>
    <w:rsid w:val="00D72158"/>
    <w:rsid w:val="00D721A5"/>
    <w:rsid w:val="00D73025"/>
    <w:rsid w:val="00D740F4"/>
    <w:rsid w:val="00D75943"/>
    <w:rsid w:val="00D802FD"/>
    <w:rsid w:val="00D824F2"/>
    <w:rsid w:val="00D82CD4"/>
    <w:rsid w:val="00D833A1"/>
    <w:rsid w:val="00D847A7"/>
    <w:rsid w:val="00D84A02"/>
    <w:rsid w:val="00D857E5"/>
    <w:rsid w:val="00D869C5"/>
    <w:rsid w:val="00D932E1"/>
    <w:rsid w:val="00D937A6"/>
    <w:rsid w:val="00D94A5A"/>
    <w:rsid w:val="00D97721"/>
    <w:rsid w:val="00D97B6A"/>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1B33"/>
    <w:rsid w:val="00DB3CEF"/>
    <w:rsid w:val="00DB47D6"/>
    <w:rsid w:val="00DB4FFA"/>
    <w:rsid w:val="00DB65DC"/>
    <w:rsid w:val="00DB6650"/>
    <w:rsid w:val="00DB6664"/>
    <w:rsid w:val="00DB73FB"/>
    <w:rsid w:val="00DB7B75"/>
    <w:rsid w:val="00DB7CD4"/>
    <w:rsid w:val="00DC0DBE"/>
    <w:rsid w:val="00DC2BD5"/>
    <w:rsid w:val="00DC429D"/>
    <w:rsid w:val="00DC4ACC"/>
    <w:rsid w:val="00DC5146"/>
    <w:rsid w:val="00DC62D9"/>
    <w:rsid w:val="00DC6512"/>
    <w:rsid w:val="00DC6E17"/>
    <w:rsid w:val="00DC6F8F"/>
    <w:rsid w:val="00DD26B7"/>
    <w:rsid w:val="00DD32D3"/>
    <w:rsid w:val="00DD35D4"/>
    <w:rsid w:val="00DD3E76"/>
    <w:rsid w:val="00DD4A1A"/>
    <w:rsid w:val="00DD4C4B"/>
    <w:rsid w:val="00DD4DCA"/>
    <w:rsid w:val="00DD5001"/>
    <w:rsid w:val="00DD5181"/>
    <w:rsid w:val="00DD5CCB"/>
    <w:rsid w:val="00DD6003"/>
    <w:rsid w:val="00DD668A"/>
    <w:rsid w:val="00DD7A51"/>
    <w:rsid w:val="00DD7B1D"/>
    <w:rsid w:val="00DE1A4C"/>
    <w:rsid w:val="00DE1EC5"/>
    <w:rsid w:val="00DE285A"/>
    <w:rsid w:val="00DE288C"/>
    <w:rsid w:val="00DE2F3F"/>
    <w:rsid w:val="00DE3AB1"/>
    <w:rsid w:val="00DE505B"/>
    <w:rsid w:val="00DE51AF"/>
    <w:rsid w:val="00DE5417"/>
    <w:rsid w:val="00DE5630"/>
    <w:rsid w:val="00DE5A55"/>
    <w:rsid w:val="00DE7227"/>
    <w:rsid w:val="00DE76FC"/>
    <w:rsid w:val="00DF0F94"/>
    <w:rsid w:val="00DF136E"/>
    <w:rsid w:val="00DF2934"/>
    <w:rsid w:val="00DF3789"/>
    <w:rsid w:val="00DF3F22"/>
    <w:rsid w:val="00DF4241"/>
    <w:rsid w:val="00DF45B4"/>
    <w:rsid w:val="00DF4BAB"/>
    <w:rsid w:val="00DF4E86"/>
    <w:rsid w:val="00DF5D14"/>
    <w:rsid w:val="00DF5E0F"/>
    <w:rsid w:val="00DF608E"/>
    <w:rsid w:val="00DF6CC5"/>
    <w:rsid w:val="00DF6FF1"/>
    <w:rsid w:val="00DF76E0"/>
    <w:rsid w:val="00E0139A"/>
    <w:rsid w:val="00E015A9"/>
    <w:rsid w:val="00E016B1"/>
    <w:rsid w:val="00E02883"/>
    <w:rsid w:val="00E03889"/>
    <w:rsid w:val="00E04029"/>
    <w:rsid w:val="00E04242"/>
    <w:rsid w:val="00E06496"/>
    <w:rsid w:val="00E06F81"/>
    <w:rsid w:val="00E0785F"/>
    <w:rsid w:val="00E07DFA"/>
    <w:rsid w:val="00E10861"/>
    <w:rsid w:val="00E10E63"/>
    <w:rsid w:val="00E120BC"/>
    <w:rsid w:val="00E1376C"/>
    <w:rsid w:val="00E15635"/>
    <w:rsid w:val="00E16BEE"/>
    <w:rsid w:val="00E17373"/>
    <w:rsid w:val="00E21914"/>
    <w:rsid w:val="00E21B02"/>
    <w:rsid w:val="00E22D70"/>
    <w:rsid w:val="00E23869"/>
    <w:rsid w:val="00E251B1"/>
    <w:rsid w:val="00E26156"/>
    <w:rsid w:val="00E27323"/>
    <w:rsid w:val="00E3099D"/>
    <w:rsid w:val="00E32786"/>
    <w:rsid w:val="00E333FB"/>
    <w:rsid w:val="00E3345C"/>
    <w:rsid w:val="00E335BB"/>
    <w:rsid w:val="00E33B57"/>
    <w:rsid w:val="00E34598"/>
    <w:rsid w:val="00E35822"/>
    <w:rsid w:val="00E36150"/>
    <w:rsid w:val="00E36F7B"/>
    <w:rsid w:val="00E37DF6"/>
    <w:rsid w:val="00E40778"/>
    <w:rsid w:val="00E41642"/>
    <w:rsid w:val="00E4174E"/>
    <w:rsid w:val="00E41FE9"/>
    <w:rsid w:val="00E4501A"/>
    <w:rsid w:val="00E45786"/>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3FC6"/>
    <w:rsid w:val="00E65D86"/>
    <w:rsid w:val="00E66967"/>
    <w:rsid w:val="00E67E1C"/>
    <w:rsid w:val="00E7052A"/>
    <w:rsid w:val="00E70E2A"/>
    <w:rsid w:val="00E71A18"/>
    <w:rsid w:val="00E721D3"/>
    <w:rsid w:val="00E726B9"/>
    <w:rsid w:val="00E72C1A"/>
    <w:rsid w:val="00E74BBE"/>
    <w:rsid w:val="00E763CD"/>
    <w:rsid w:val="00E76A0F"/>
    <w:rsid w:val="00E7711B"/>
    <w:rsid w:val="00E807D4"/>
    <w:rsid w:val="00E80A66"/>
    <w:rsid w:val="00E8114F"/>
    <w:rsid w:val="00E817AA"/>
    <w:rsid w:val="00E828F9"/>
    <w:rsid w:val="00E82B64"/>
    <w:rsid w:val="00E83E08"/>
    <w:rsid w:val="00E850A3"/>
    <w:rsid w:val="00E8528B"/>
    <w:rsid w:val="00E859BA"/>
    <w:rsid w:val="00E862E2"/>
    <w:rsid w:val="00E86A15"/>
    <w:rsid w:val="00E86C41"/>
    <w:rsid w:val="00E87034"/>
    <w:rsid w:val="00E870B0"/>
    <w:rsid w:val="00E90733"/>
    <w:rsid w:val="00E90F26"/>
    <w:rsid w:val="00E92A06"/>
    <w:rsid w:val="00E92F4A"/>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77A"/>
    <w:rsid w:val="00EB7B3E"/>
    <w:rsid w:val="00EC0FC7"/>
    <w:rsid w:val="00EC2254"/>
    <w:rsid w:val="00EC2329"/>
    <w:rsid w:val="00EC3466"/>
    <w:rsid w:val="00EC37C6"/>
    <w:rsid w:val="00EC38C9"/>
    <w:rsid w:val="00EC3CEA"/>
    <w:rsid w:val="00EC4ACC"/>
    <w:rsid w:val="00EC4F16"/>
    <w:rsid w:val="00EC5998"/>
    <w:rsid w:val="00EC6291"/>
    <w:rsid w:val="00EC730F"/>
    <w:rsid w:val="00EC744B"/>
    <w:rsid w:val="00EC778D"/>
    <w:rsid w:val="00EC7B5A"/>
    <w:rsid w:val="00ED1151"/>
    <w:rsid w:val="00ED1573"/>
    <w:rsid w:val="00ED1966"/>
    <w:rsid w:val="00ED1D0F"/>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D54"/>
    <w:rsid w:val="00EF7F09"/>
    <w:rsid w:val="00F0059C"/>
    <w:rsid w:val="00F016CA"/>
    <w:rsid w:val="00F01BF9"/>
    <w:rsid w:val="00F01E4F"/>
    <w:rsid w:val="00F02C3D"/>
    <w:rsid w:val="00F04143"/>
    <w:rsid w:val="00F0482C"/>
    <w:rsid w:val="00F05994"/>
    <w:rsid w:val="00F07279"/>
    <w:rsid w:val="00F0740D"/>
    <w:rsid w:val="00F07750"/>
    <w:rsid w:val="00F07756"/>
    <w:rsid w:val="00F07780"/>
    <w:rsid w:val="00F0785B"/>
    <w:rsid w:val="00F07C31"/>
    <w:rsid w:val="00F106C0"/>
    <w:rsid w:val="00F10988"/>
    <w:rsid w:val="00F10A7A"/>
    <w:rsid w:val="00F10A86"/>
    <w:rsid w:val="00F1110C"/>
    <w:rsid w:val="00F11550"/>
    <w:rsid w:val="00F12149"/>
    <w:rsid w:val="00F12E25"/>
    <w:rsid w:val="00F13587"/>
    <w:rsid w:val="00F13834"/>
    <w:rsid w:val="00F16387"/>
    <w:rsid w:val="00F2036A"/>
    <w:rsid w:val="00F2038F"/>
    <w:rsid w:val="00F203C7"/>
    <w:rsid w:val="00F20E47"/>
    <w:rsid w:val="00F210E0"/>
    <w:rsid w:val="00F21646"/>
    <w:rsid w:val="00F21917"/>
    <w:rsid w:val="00F25CBF"/>
    <w:rsid w:val="00F27A4B"/>
    <w:rsid w:val="00F27BB1"/>
    <w:rsid w:val="00F3088C"/>
    <w:rsid w:val="00F312AF"/>
    <w:rsid w:val="00F31BEE"/>
    <w:rsid w:val="00F32B0E"/>
    <w:rsid w:val="00F33DC4"/>
    <w:rsid w:val="00F34495"/>
    <w:rsid w:val="00F35946"/>
    <w:rsid w:val="00F359C0"/>
    <w:rsid w:val="00F37DBE"/>
    <w:rsid w:val="00F40203"/>
    <w:rsid w:val="00F40E32"/>
    <w:rsid w:val="00F410B7"/>
    <w:rsid w:val="00F41778"/>
    <w:rsid w:val="00F421EA"/>
    <w:rsid w:val="00F430AC"/>
    <w:rsid w:val="00F44E9D"/>
    <w:rsid w:val="00F462D5"/>
    <w:rsid w:val="00F46975"/>
    <w:rsid w:val="00F477B9"/>
    <w:rsid w:val="00F50794"/>
    <w:rsid w:val="00F516B5"/>
    <w:rsid w:val="00F516F6"/>
    <w:rsid w:val="00F52F08"/>
    <w:rsid w:val="00F53604"/>
    <w:rsid w:val="00F54A39"/>
    <w:rsid w:val="00F54B2D"/>
    <w:rsid w:val="00F54BBB"/>
    <w:rsid w:val="00F55625"/>
    <w:rsid w:val="00F55D59"/>
    <w:rsid w:val="00F55EC6"/>
    <w:rsid w:val="00F55FAE"/>
    <w:rsid w:val="00F5704C"/>
    <w:rsid w:val="00F571C3"/>
    <w:rsid w:val="00F60171"/>
    <w:rsid w:val="00F603C9"/>
    <w:rsid w:val="00F6086F"/>
    <w:rsid w:val="00F613FA"/>
    <w:rsid w:val="00F62FDA"/>
    <w:rsid w:val="00F6631F"/>
    <w:rsid w:val="00F6634B"/>
    <w:rsid w:val="00F7059C"/>
    <w:rsid w:val="00F71C7D"/>
    <w:rsid w:val="00F72112"/>
    <w:rsid w:val="00F723D6"/>
    <w:rsid w:val="00F724AB"/>
    <w:rsid w:val="00F7325B"/>
    <w:rsid w:val="00F7338C"/>
    <w:rsid w:val="00F757A1"/>
    <w:rsid w:val="00F7798C"/>
    <w:rsid w:val="00F77E87"/>
    <w:rsid w:val="00F806A9"/>
    <w:rsid w:val="00F81620"/>
    <w:rsid w:val="00F82107"/>
    <w:rsid w:val="00F8217F"/>
    <w:rsid w:val="00F83113"/>
    <w:rsid w:val="00F83C22"/>
    <w:rsid w:val="00F84521"/>
    <w:rsid w:val="00F84BDC"/>
    <w:rsid w:val="00F86B61"/>
    <w:rsid w:val="00F86CF5"/>
    <w:rsid w:val="00F87451"/>
    <w:rsid w:val="00F874EE"/>
    <w:rsid w:val="00F8785D"/>
    <w:rsid w:val="00F906AB"/>
    <w:rsid w:val="00F91766"/>
    <w:rsid w:val="00F91A6E"/>
    <w:rsid w:val="00F924B3"/>
    <w:rsid w:val="00F9355B"/>
    <w:rsid w:val="00F94E4E"/>
    <w:rsid w:val="00F96B7D"/>
    <w:rsid w:val="00F96F74"/>
    <w:rsid w:val="00FA0537"/>
    <w:rsid w:val="00FA07C3"/>
    <w:rsid w:val="00FA0F24"/>
    <w:rsid w:val="00FA1D08"/>
    <w:rsid w:val="00FA25EA"/>
    <w:rsid w:val="00FA2ECA"/>
    <w:rsid w:val="00FA2FA8"/>
    <w:rsid w:val="00FA5F04"/>
    <w:rsid w:val="00FA65E5"/>
    <w:rsid w:val="00FA65E6"/>
    <w:rsid w:val="00FA6A63"/>
    <w:rsid w:val="00FA74C0"/>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5AD5"/>
    <w:rsid w:val="00FC6359"/>
    <w:rsid w:val="00FC6B40"/>
    <w:rsid w:val="00FC6F54"/>
    <w:rsid w:val="00FC74ED"/>
    <w:rsid w:val="00FC7979"/>
    <w:rsid w:val="00FC7CE2"/>
    <w:rsid w:val="00FD1489"/>
    <w:rsid w:val="00FD15A5"/>
    <w:rsid w:val="00FD2169"/>
    <w:rsid w:val="00FD245E"/>
    <w:rsid w:val="00FD24D9"/>
    <w:rsid w:val="00FD2B4A"/>
    <w:rsid w:val="00FD43CA"/>
    <w:rsid w:val="00FD4B6C"/>
    <w:rsid w:val="00FD6225"/>
    <w:rsid w:val="00FD6598"/>
    <w:rsid w:val="00FD760A"/>
    <w:rsid w:val="00FD7787"/>
    <w:rsid w:val="00FD7C6C"/>
    <w:rsid w:val="00FE01F1"/>
    <w:rsid w:val="00FE0E33"/>
    <w:rsid w:val="00FE1A5C"/>
    <w:rsid w:val="00FE1CB9"/>
    <w:rsid w:val="00FE2B98"/>
    <w:rsid w:val="00FE3040"/>
    <w:rsid w:val="00FE4FE0"/>
    <w:rsid w:val="00FE54A8"/>
    <w:rsid w:val="00FE5E25"/>
    <w:rsid w:val="00FE6741"/>
    <w:rsid w:val="00FE6B1A"/>
    <w:rsid w:val="00FF06F9"/>
    <w:rsid w:val="00FF0FB4"/>
    <w:rsid w:val="00FF1A88"/>
    <w:rsid w:val="00FF260E"/>
    <w:rsid w:val="00FF2B2A"/>
    <w:rsid w:val="00FF2B97"/>
    <w:rsid w:val="00FF47D8"/>
    <w:rsid w:val="00FF4EE6"/>
    <w:rsid w:val="00FF683E"/>
    <w:rsid w:val="00FF7E53"/>
    <w:rsid w:val="01017C4C"/>
    <w:rsid w:val="01125275"/>
    <w:rsid w:val="01570B42"/>
    <w:rsid w:val="01BD44F5"/>
    <w:rsid w:val="020D40B4"/>
    <w:rsid w:val="02121F29"/>
    <w:rsid w:val="02437D0C"/>
    <w:rsid w:val="02442C1F"/>
    <w:rsid w:val="02BD5872"/>
    <w:rsid w:val="032A7E2C"/>
    <w:rsid w:val="039E0B4E"/>
    <w:rsid w:val="044F5401"/>
    <w:rsid w:val="04825F32"/>
    <w:rsid w:val="048B3EF4"/>
    <w:rsid w:val="048C3744"/>
    <w:rsid w:val="04AD4C6B"/>
    <w:rsid w:val="04AD6172"/>
    <w:rsid w:val="051E5CB0"/>
    <w:rsid w:val="05560C33"/>
    <w:rsid w:val="05836CB0"/>
    <w:rsid w:val="05AA1E2F"/>
    <w:rsid w:val="05AE2FED"/>
    <w:rsid w:val="05C24554"/>
    <w:rsid w:val="05E565EA"/>
    <w:rsid w:val="061606D5"/>
    <w:rsid w:val="061A2F20"/>
    <w:rsid w:val="062A44D1"/>
    <w:rsid w:val="065B5A42"/>
    <w:rsid w:val="06986741"/>
    <w:rsid w:val="07264310"/>
    <w:rsid w:val="07690C89"/>
    <w:rsid w:val="076F40B3"/>
    <w:rsid w:val="07731EDA"/>
    <w:rsid w:val="077C4AED"/>
    <w:rsid w:val="083B02F3"/>
    <w:rsid w:val="084B6744"/>
    <w:rsid w:val="08540DD2"/>
    <w:rsid w:val="08C124FC"/>
    <w:rsid w:val="08F80683"/>
    <w:rsid w:val="09014C79"/>
    <w:rsid w:val="09B853C9"/>
    <w:rsid w:val="09D07D4B"/>
    <w:rsid w:val="0A173570"/>
    <w:rsid w:val="0A511A55"/>
    <w:rsid w:val="0A6C50DE"/>
    <w:rsid w:val="0B2D0CE3"/>
    <w:rsid w:val="0B68555C"/>
    <w:rsid w:val="0B707790"/>
    <w:rsid w:val="0B721E65"/>
    <w:rsid w:val="0B7D2BDE"/>
    <w:rsid w:val="0B8D331C"/>
    <w:rsid w:val="0C2B4859"/>
    <w:rsid w:val="0C45445B"/>
    <w:rsid w:val="0C944AE0"/>
    <w:rsid w:val="0C973E26"/>
    <w:rsid w:val="0CFA7036"/>
    <w:rsid w:val="0D380677"/>
    <w:rsid w:val="0D673D3B"/>
    <w:rsid w:val="0DAF4280"/>
    <w:rsid w:val="0E09186A"/>
    <w:rsid w:val="0E15040C"/>
    <w:rsid w:val="0EE14842"/>
    <w:rsid w:val="0EF57358"/>
    <w:rsid w:val="0F54176A"/>
    <w:rsid w:val="0F654FB0"/>
    <w:rsid w:val="0FDC7541"/>
    <w:rsid w:val="100F298C"/>
    <w:rsid w:val="109B7D77"/>
    <w:rsid w:val="10B14AEE"/>
    <w:rsid w:val="10E55ACF"/>
    <w:rsid w:val="11703FDD"/>
    <w:rsid w:val="11901742"/>
    <w:rsid w:val="11AB24C0"/>
    <w:rsid w:val="11CF7FD4"/>
    <w:rsid w:val="11EC350B"/>
    <w:rsid w:val="136369E3"/>
    <w:rsid w:val="13A4655C"/>
    <w:rsid w:val="13EB4DC2"/>
    <w:rsid w:val="14287802"/>
    <w:rsid w:val="14510BA6"/>
    <w:rsid w:val="1453684C"/>
    <w:rsid w:val="149E4339"/>
    <w:rsid w:val="14E94D9C"/>
    <w:rsid w:val="158E7E44"/>
    <w:rsid w:val="15CF287D"/>
    <w:rsid w:val="161A3B4F"/>
    <w:rsid w:val="16424436"/>
    <w:rsid w:val="16431650"/>
    <w:rsid w:val="16C12DFE"/>
    <w:rsid w:val="16D34A53"/>
    <w:rsid w:val="1700085B"/>
    <w:rsid w:val="175F5C40"/>
    <w:rsid w:val="17791C41"/>
    <w:rsid w:val="17CF7053"/>
    <w:rsid w:val="17DD217F"/>
    <w:rsid w:val="18130D9D"/>
    <w:rsid w:val="18485B9A"/>
    <w:rsid w:val="1891711F"/>
    <w:rsid w:val="18F97820"/>
    <w:rsid w:val="192B2CC4"/>
    <w:rsid w:val="19BA3DD9"/>
    <w:rsid w:val="19C932B6"/>
    <w:rsid w:val="1A5255EA"/>
    <w:rsid w:val="1A727E93"/>
    <w:rsid w:val="1AC90C8B"/>
    <w:rsid w:val="1B081AAC"/>
    <w:rsid w:val="1B1644A1"/>
    <w:rsid w:val="1B5015DA"/>
    <w:rsid w:val="1B905946"/>
    <w:rsid w:val="1B9D0D7A"/>
    <w:rsid w:val="1BB43780"/>
    <w:rsid w:val="1C706A45"/>
    <w:rsid w:val="1C8107F9"/>
    <w:rsid w:val="1CC424C0"/>
    <w:rsid w:val="1D340687"/>
    <w:rsid w:val="1D492719"/>
    <w:rsid w:val="1DB54174"/>
    <w:rsid w:val="1DC43794"/>
    <w:rsid w:val="1DEE36E1"/>
    <w:rsid w:val="1E2B689A"/>
    <w:rsid w:val="1E605764"/>
    <w:rsid w:val="1E7F5D1F"/>
    <w:rsid w:val="1E842C58"/>
    <w:rsid w:val="1E8865C2"/>
    <w:rsid w:val="1EAE1EFC"/>
    <w:rsid w:val="1F016CAD"/>
    <w:rsid w:val="1F032355"/>
    <w:rsid w:val="1F5E32BF"/>
    <w:rsid w:val="1FBC37D3"/>
    <w:rsid w:val="1FE84CAF"/>
    <w:rsid w:val="1FF07889"/>
    <w:rsid w:val="20071C4E"/>
    <w:rsid w:val="20464D73"/>
    <w:rsid w:val="205D43E9"/>
    <w:rsid w:val="208C27F0"/>
    <w:rsid w:val="20997A75"/>
    <w:rsid w:val="21965E5F"/>
    <w:rsid w:val="21994ACB"/>
    <w:rsid w:val="224E1196"/>
    <w:rsid w:val="225459BF"/>
    <w:rsid w:val="227A0A46"/>
    <w:rsid w:val="22E87676"/>
    <w:rsid w:val="23045A33"/>
    <w:rsid w:val="235B6EB4"/>
    <w:rsid w:val="23922838"/>
    <w:rsid w:val="23A83B1A"/>
    <w:rsid w:val="23B11417"/>
    <w:rsid w:val="23CE59DC"/>
    <w:rsid w:val="23DE761C"/>
    <w:rsid w:val="23E21B3B"/>
    <w:rsid w:val="23E21C4E"/>
    <w:rsid w:val="23FD6057"/>
    <w:rsid w:val="247058DA"/>
    <w:rsid w:val="24AE36B3"/>
    <w:rsid w:val="24CF1893"/>
    <w:rsid w:val="250768AC"/>
    <w:rsid w:val="252541FE"/>
    <w:rsid w:val="2563165F"/>
    <w:rsid w:val="259E41D1"/>
    <w:rsid w:val="25AB0BC2"/>
    <w:rsid w:val="26930344"/>
    <w:rsid w:val="27827560"/>
    <w:rsid w:val="278957FE"/>
    <w:rsid w:val="279B384F"/>
    <w:rsid w:val="27C17BB1"/>
    <w:rsid w:val="280E7144"/>
    <w:rsid w:val="2846151A"/>
    <w:rsid w:val="284D27E8"/>
    <w:rsid w:val="28893793"/>
    <w:rsid w:val="28A904E4"/>
    <w:rsid w:val="28AE1A98"/>
    <w:rsid w:val="28F42A33"/>
    <w:rsid w:val="291432B8"/>
    <w:rsid w:val="291F6A65"/>
    <w:rsid w:val="2929562D"/>
    <w:rsid w:val="29374942"/>
    <w:rsid w:val="29FF78F4"/>
    <w:rsid w:val="2A6956F3"/>
    <w:rsid w:val="2A9F304A"/>
    <w:rsid w:val="2AFD63B6"/>
    <w:rsid w:val="2B462518"/>
    <w:rsid w:val="2B573EC3"/>
    <w:rsid w:val="2B61449C"/>
    <w:rsid w:val="2B773C45"/>
    <w:rsid w:val="2B8A310F"/>
    <w:rsid w:val="2BA858AF"/>
    <w:rsid w:val="2C3E24C1"/>
    <w:rsid w:val="2C4F7335"/>
    <w:rsid w:val="2C816910"/>
    <w:rsid w:val="2C92734F"/>
    <w:rsid w:val="2C9F7A9F"/>
    <w:rsid w:val="2CA03B11"/>
    <w:rsid w:val="2CA704E8"/>
    <w:rsid w:val="2D283647"/>
    <w:rsid w:val="2D2C1113"/>
    <w:rsid w:val="2D2F78E9"/>
    <w:rsid w:val="2DB23EAD"/>
    <w:rsid w:val="2DED4667"/>
    <w:rsid w:val="2ED15F5E"/>
    <w:rsid w:val="2EF4761B"/>
    <w:rsid w:val="2F2F0392"/>
    <w:rsid w:val="2FA318F0"/>
    <w:rsid w:val="2FC31E94"/>
    <w:rsid w:val="2FE73A50"/>
    <w:rsid w:val="2FEA7DF9"/>
    <w:rsid w:val="30917BD7"/>
    <w:rsid w:val="30BE3F50"/>
    <w:rsid w:val="313A5F04"/>
    <w:rsid w:val="31A326AD"/>
    <w:rsid w:val="31B70DF7"/>
    <w:rsid w:val="31BD60A0"/>
    <w:rsid w:val="31F87E82"/>
    <w:rsid w:val="32E06116"/>
    <w:rsid w:val="32E13316"/>
    <w:rsid w:val="3301632F"/>
    <w:rsid w:val="3302137C"/>
    <w:rsid w:val="33076D69"/>
    <w:rsid w:val="33125A14"/>
    <w:rsid w:val="333373CC"/>
    <w:rsid w:val="336B039B"/>
    <w:rsid w:val="340121F5"/>
    <w:rsid w:val="340D75AE"/>
    <w:rsid w:val="341A0848"/>
    <w:rsid w:val="344B6252"/>
    <w:rsid w:val="3465048D"/>
    <w:rsid w:val="348F359B"/>
    <w:rsid w:val="34A623E5"/>
    <w:rsid w:val="34F33587"/>
    <w:rsid w:val="34F934F5"/>
    <w:rsid w:val="351C08D6"/>
    <w:rsid w:val="351F2788"/>
    <w:rsid w:val="353B7940"/>
    <w:rsid w:val="35903E59"/>
    <w:rsid w:val="35974425"/>
    <w:rsid w:val="35AA0E18"/>
    <w:rsid w:val="35FC4BAE"/>
    <w:rsid w:val="36433849"/>
    <w:rsid w:val="364A5848"/>
    <w:rsid w:val="365D339C"/>
    <w:rsid w:val="367E3075"/>
    <w:rsid w:val="368A2ACE"/>
    <w:rsid w:val="376A1906"/>
    <w:rsid w:val="377473F2"/>
    <w:rsid w:val="378641BA"/>
    <w:rsid w:val="37917650"/>
    <w:rsid w:val="37C97304"/>
    <w:rsid w:val="38563E9E"/>
    <w:rsid w:val="38932D52"/>
    <w:rsid w:val="38D509B9"/>
    <w:rsid w:val="38F84B4A"/>
    <w:rsid w:val="39236D04"/>
    <w:rsid w:val="392D49BE"/>
    <w:rsid w:val="39511E7F"/>
    <w:rsid w:val="395B43D9"/>
    <w:rsid w:val="39FC371D"/>
    <w:rsid w:val="3A457E4C"/>
    <w:rsid w:val="3A7007EE"/>
    <w:rsid w:val="3AD20E64"/>
    <w:rsid w:val="3B5B2C90"/>
    <w:rsid w:val="3B9519DF"/>
    <w:rsid w:val="3BE57419"/>
    <w:rsid w:val="3BFC1327"/>
    <w:rsid w:val="3CA277C0"/>
    <w:rsid w:val="3CAF061D"/>
    <w:rsid w:val="3CEF30A7"/>
    <w:rsid w:val="3D153712"/>
    <w:rsid w:val="3D205CE9"/>
    <w:rsid w:val="3D2233FB"/>
    <w:rsid w:val="3D9931DB"/>
    <w:rsid w:val="3DD82312"/>
    <w:rsid w:val="3DDD5D91"/>
    <w:rsid w:val="3E2D678E"/>
    <w:rsid w:val="3E335F6C"/>
    <w:rsid w:val="3E4F4BAB"/>
    <w:rsid w:val="3E82485B"/>
    <w:rsid w:val="3ED041D0"/>
    <w:rsid w:val="3F1A0084"/>
    <w:rsid w:val="3FBD6C7E"/>
    <w:rsid w:val="3FBE4A8F"/>
    <w:rsid w:val="3FDD0FD4"/>
    <w:rsid w:val="4009277D"/>
    <w:rsid w:val="400A5756"/>
    <w:rsid w:val="400D52C8"/>
    <w:rsid w:val="404339FD"/>
    <w:rsid w:val="40735C87"/>
    <w:rsid w:val="40911469"/>
    <w:rsid w:val="40CE75B7"/>
    <w:rsid w:val="41401B50"/>
    <w:rsid w:val="416A4344"/>
    <w:rsid w:val="42143C58"/>
    <w:rsid w:val="42324CF6"/>
    <w:rsid w:val="43293980"/>
    <w:rsid w:val="434628B6"/>
    <w:rsid w:val="439F5067"/>
    <w:rsid w:val="43FC77B9"/>
    <w:rsid w:val="44417D28"/>
    <w:rsid w:val="44673E4A"/>
    <w:rsid w:val="44773CD2"/>
    <w:rsid w:val="44DF4FDA"/>
    <w:rsid w:val="453B583A"/>
    <w:rsid w:val="45500126"/>
    <w:rsid w:val="45B24547"/>
    <w:rsid w:val="462C51D4"/>
    <w:rsid w:val="465E26CD"/>
    <w:rsid w:val="46603A7C"/>
    <w:rsid w:val="46625139"/>
    <w:rsid w:val="46996AFD"/>
    <w:rsid w:val="46E83978"/>
    <w:rsid w:val="47442013"/>
    <w:rsid w:val="475B335F"/>
    <w:rsid w:val="47665A62"/>
    <w:rsid w:val="47930985"/>
    <w:rsid w:val="47DE4638"/>
    <w:rsid w:val="47DF749A"/>
    <w:rsid w:val="48496FA0"/>
    <w:rsid w:val="484F3869"/>
    <w:rsid w:val="48DA7951"/>
    <w:rsid w:val="48F30D3D"/>
    <w:rsid w:val="492C007A"/>
    <w:rsid w:val="494A7C4C"/>
    <w:rsid w:val="49827327"/>
    <w:rsid w:val="4A120FE1"/>
    <w:rsid w:val="4A4E5776"/>
    <w:rsid w:val="4A635114"/>
    <w:rsid w:val="4A882243"/>
    <w:rsid w:val="4A9D0981"/>
    <w:rsid w:val="4AE64D55"/>
    <w:rsid w:val="4B281141"/>
    <w:rsid w:val="4BB80046"/>
    <w:rsid w:val="4BC471B8"/>
    <w:rsid w:val="4C0E5BAD"/>
    <w:rsid w:val="4C0F6683"/>
    <w:rsid w:val="4C170B63"/>
    <w:rsid w:val="4C6843B9"/>
    <w:rsid w:val="4C77159D"/>
    <w:rsid w:val="4CAB4420"/>
    <w:rsid w:val="4CAC15F2"/>
    <w:rsid w:val="4CCE4482"/>
    <w:rsid w:val="4D9F5EFC"/>
    <w:rsid w:val="4DB908E0"/>
    <w:rsid w:val="4E33263C"/>
    <w:rsid w:val="4E96120B"/>
    <w:rsid w:val="4EB23DF4"/>
    <w:rsid w:val="4F6C7648"/>
    <w:rsid w:val="4F9C6840"/>
    <w:rsid w:val="4FBE7A50"/>
    <w:rsid w:val="50062B08"/>
    <w:rsid w:val="501805EF"/>
    <w:rsid w:val="50233033"/>
    <w:rsid w:val="502E27B1"/>
    <w:rsid w:val="50975EFF"/>
    <w:rsid w:val="50CC48E8"/>
    <w:rsid w:val="50FF23E2"/>
    <w:rsid w:val="51212F21"/>
    <w:rsid w:val="51272EB1"/>
    <w:rsid w:val="51603484"/>
    <w:rsid w:val="517A3D49"/>
    <w:rsid w:val="518566CD"/>
    <w:rsid w:val="51BA2535"/>
    <w:rsid w:val="523C2582"/>
    <w:rsid w:val="5271353A"/>
    <w:rsid w:val="52756E32"/>
    <w:rsid w:val="52AF617F"/>
    <w:rsid w:val="5306399E"/>
    <w:rsid w:val="535542B0"/>
    <w:rsid w:val="53653159"/>
    <w:rsid w:val="53C90C15"/>
    <w:rsid w:val="53CF76BD"/>
    <w:rsid w:val="53E64A5C"/>
    <w:rsid w:val="53F520EF"/>
    <w:rsid w:val="53F9098C"/>
    <w:rsid w:val="541933E7"/>
    <w:rsid w:val="54235856"/>
    <w:rsid w:val="5445447C"/>
    <w:rsid w:val="546E6190"/>
    <w:rsid w:val="54CF5831"/>
    <w:rsid w:val="54F82F7B"/>
    <w:rsid w:val="550E0298"/>
    <w:rsid w:val="55221270"/>
    <w:rsid w:val="55B56202"/>
    <w:rsid w:val="55C7732D"/>
    <w:rsid w:val="55D6017A"/>
    <w:rsid w:val="55EC24F6"/>
    <w:rsid w:val="565F02BC"/>
    <w:rsid w:val="567468CD"/>
    <w:rsid w:val="56C532BD"/>
    <w:rsid w:val="571C474B"/>
    <w:rsid w:val="574D1453"/>
    <w:rsid w:val="577B3BA6"/>
    <w:rsid w:val="57B92B69"/>
    <w:rsid w:val="57F24C5E"/>
    <w:rsid w:val="58135D80"/>
    <w:rsid w:val="58177413"/>
    <w:rsid w:val="587B294E"/>
    <w:rsid w:val="58B42698"/>
    <w:rsid w:val="58C5629F"/>
    <w:rsid w:val="59A97586"/>
    <w:rsid w:val="59AB3818"/>
    <w:rsid w:val="59AD4F06"/>
    <w:rsid w:val="59BA2D69"/>
    <w:rsid w:val="5A594CC3"/>
    <w:rsid w:val="5AD44461"/>
    <w:rsid w:val="5AF37222"/>
    <w:rsid w:val="5B131307"/>
    <w:rsid w:val="5B8806E1"/>
    <w:rsid w:val="5BDC705A"/>
    <w:rsid w:val="5C784816"/>
    <w:rsid w:val="5C8A5234"/>
    <w:rsid w:val="5CC31B57"/>
    <w:rsid w:val="5D691CBB"/>
    <w:rsid w:val="5D7A0F3F"/>
    <w:rsid w:val="5DB74F9B"/>
    <w:rsid w:val="5E7A4240"/>
    <w:rsid w:val="5F446287"/>
    <w:rsid w:val="5F4A0338"/>
    <w:rsid w:val="5F4B6306"/>
    <w:rsid w:val="5F813FB4"/>
    <w:rsid w:val="5F8F0621"/>
    <w:rsid w:val="60157F0E"/>
    <w:rsid w:val="602729FA"/>
    <w:rsid w:val="605E1E5C"/>
    <w:rsid w:val="60C522F4"/>
    <w:rsid w:val="60F67612"/>
    <w:rsid w:val="610F77FA"/>
    <w:rsid w:val="61121460"/>
    <w:rsid w:val="61186932"/>
    <w:rsid w:val="613B57ED"/>
    <w:rsid w:val="61423940"/>
    <w:rsid w:val="6194690C"/>
    <w:rsid w:val="621222CC"/>
    <w:rsid w:val="626112AE"/>
    <w:rsid w:val="62616D97"/>
    <w:rsid w:val="628778FD"/>
    <w:rsid w:val="6298317C"/>
    <w:rsid w:val="62D61745"/>
    <w:rsid w:val="63B112DA"/>
    <w:rsid w:val="63F8368E"/>
    <w:rsid w:val="641F5B3D"/>
    <w:rsid w:val="64202DD0"/>
    <w:rsid w:val="64DE5FDC"/>
    <w:rsid w:val="64E01134"/>
    <w:rsid w:val="65C33B7F"/>
    <w:rsid w:val="65EC217F"/>
    <w:rsid w:val="66076538"/>
    <w:rsid w:val="668757D1"/>
    <w:rsid w:val="670B2782"/>
    <w:rsid w:val="672D5701"/>
    <w:rsid w:val="673117EF"/>
    <w:rsid w:val="67A46E8F"/>
    <w:rsid w:val="67E9230E"/>
    <w:rsid w:val="67EC2CFC"/>
    <w:rsid w:val="68024255"/>
    <w:rsid w:val="68103D21"/>
    <w:rsid w:val="683C6812"/>
    <w:rsid w:val="683E50DD"/>
    <w:rsid w:val="689414BE"/>
    <w:rsid w:val="68C84C8D"/>
    <w:rsid w:val="68EC3C32"/>
    <w:rsid w:val="68FC1AED"/>
    <w:rsid w:val="6912754D"/>
    <w:rsid w:val="69203ACC"/>
    <w:rsid w:val="69464539"/>
    <w:rsid w:val="6952043D"/>
    <w:rsid w:val="698719E7"/>
    <w:rsid w:val="699F3FEA"/>
    <w:rsid w:val="69C04ABB"/>
    <w:rsid w:val="6A1914BA"/>
    <w:rsid w:val="6A2F5934"/>
    <w:rsid w:val="6A7D6AC8"/>
    <w:rsid w:val="6A834FCD"/>
    <w:rsid w:val="6ACE4D37"/>
    <w:rsid w:val="6B7A28CD"/>
    <w:rsid w:val="6BAD7CEA"/>
    <w:rsid w:val="6BBB054D"/>
    <w:rsid w:val="6BD01383"/>
    <w:rsid w:val="6C50402F"/>
    <w:rsid w:val="6C534188"/>
    <w:rsid w:val="6C7C01EC"/>
    <w:rsid w:val="6C910A7F"/>
    <w:rsid w:val="6CC13F64"/>
    <w:rsid w:val="6CDB178F"/>
    <w:rsid w:val="6D1228E7"/>
    <w:rsid w:val="6D2A35F6"/>
    <w:rsid w:val="6D3A5C1E"/>
    <w:rsid w:val="6D4B40C0"/>
    <w:rsid w:val="6DDB768F"/>
    <w:rsid w:val="6E6D6FEA"/>
    <w:rsid w:val="6EAF4B05"/>
    <w:rsid w:val="6EB1256B"/>
    <w:rsid w:val="6EB55AE1"/>
    <w:rsid w:val="6EC82FBB"/>
    <w:rsid w:val="6F8C423A"/>
    <w:rsid w:val="6FAE3061"/>
    <w:rsid w:val="6FC53E7E"/>
    <w:rsid w:val="6FD57A77"/>
    <w:rsid w:val="6FED1910"/>
    <w:rsid w:val="6FFE5174"/>
    <w:rsid w:val="702711DE"/>
    <w:rsid w:val="703F3DA5"/>
    <w:rsid w:val="70626E9D"/>
    <w:rsid w:val="70F2045B"/>
    <w:rsid w:val="71084330"/>
    <w:rsid w:val="710F71D0"/>
    <w:rsid w:val="714D5970"/>
    <w:rsid w:val="71652472"/>
    <w:rsid w:val="71E35062"/>
    <w:rsid w:val="720F2076"/>
    <w:rsid w:val="727160C2"/>
    <w:rsid w:val="72D967C4"/>
    <w:rsid w:val="72E75711"/>
    <w:rsid w:val="7396760B"/>
    <w:rsid w:val="73A56C56"/>
    <w:rsid w:val="73D275A2"/>
    <w:rsid w:val="73D33EF5"/>
    <w:rsid w:val="74966354"/>
    <w:rsid w:val="749E4112"/>
    <w:rsid w:val="751B0501"/>
    <w:rsid w:val="752F30C8"/>
    <w:rsid w:val="755D7996"/>
    <w:rsid w:val="75626B88"/>
    <w:rsid w:val="75784475"/>
    <w:rsid w:val="75B30892"/>
    <w:rsid w:val="75B708C9"/>
    <w:rsid w:val="75DF6B89"/>
    <w:rsid w:val="75E00801"/>
    <w:rsid w:val="763900A2"/>
    <w:rsid w:val="766C04B8"/>
    <w:rsid w:val="767E6C03"/>
    <w:rsid w:val="76D16F69"/>
    <w:rsid w:val="770D3839"/>
    <w:rsid w:val="773B186C"/>
    <w:rsid w:val="7744581F"/>
    <w:rsid w:val="77667C2A"/>
    <w:rsid w:val="776B49CE"/>
    <w:rsid w:val="779D473B"/>
    <w:rsid w:val="784C1244"/>
    <w:rsid w:val="786D6001"/>
    <w:rsid w:val="78BE0710"/>
    <w:rsid w:val="794569C4"/>
    <w:rsid w:val="795B1D53"/>
    <w:rsid w:val="79647B21"/>
    <w:rsid w:val="79CF4503"/>
    <w:rsid w:val="7A9B1E12"/>
    <w:rsid w:val="7B1803FF"/>
    <w:rsid w:val="7B54390E"/>
    <w:rsid w:val="7B9F604C"/>
    <w:rsid w:val="7C020026"/>
    <w:rsid w:val="7C254D3D"/>
    <w:rsid w:val="7C397BD3"/>
    <w:rsid w:val="7C57093F"/>
    <w:rsid w:val="7D412A8D"/>
    <w:rsid w:val="7D691A59"/>
    <w:rsid w:val="7D7C3F01"/>
    <w:rsid w:val="7DC52097"/>
    <w:rsid w:val="7DC96A3D"/>
    <w:rsid w:val="7E3329FD"/>
    <w:rsid w:val="7E34652C"/>
    <w:rsid w:val="7E445010"/>
    <w:rsid w:val="7E5E3BE4"/>
    <w:rsid w:val="7E7A32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35"/>
    <w:unhideWhenUsed/>
    <w:uiPriority w:val="99"/>
    <w:pPr>
      <w:jc w:val="left"/>
    </w:pPr>
  </w:style>
  <w:style w:type="paragraph" w:styleId="6">
    <w:name w:val="Body Text"/>
    <w:basedOn w:val="1"/>
    <w:link w:val="36"/>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7"/>
    <w:unhideWhenUsed/>
    <w:qFormat/>
    <w:uiPriority w:val="99"/>
    <w:pPr>
      <w:ind w:left="100" w:leftChars="2500"/>
    </w:pPr>
  </w:style>
  <w:style w:type="paragraph" w:styleId="8">
    <w:name w:val="Balloon Text"/>
    <w:basedOn w:val="1"/>
    <w:link w:val="38"/>
    <w:unhideWhenUsed/>
    <w:qFormat/>
    <w:uiPriority w:val="99"/>
    <w:rPr>
      <w:kern w:val="0"/>
      <w:sz w:val="18"/>
      <w:szCs w:val="18"/>
    </w:rPr>
  </w:style>
  <w:style w:type="paragraph" w:styleId="9">
    <w:name w:val="footer"/>
    <w:basedOn w:val="1"/>
    <w:link w:val="39"/>
    <w:unhideWhenUsed/>
    <w:qFormat/>
    <w:uiPriority w:val="99"/>
    <w:pPr>
      <w:tabs>
        <w:tab w:val="center" w:pos="4153"/>
        <w:tab w:val="right" w:pos="8306"/>
      </w:tabs>
      <w:snapToGrid w:val="0"/>
      <w:jc w:val="left"/>
    </w:pPr>
    <w:rPr>
      <w:kern w:val="0"/>
      <w:sz w:val="18"/>
      <w:szCs w:val="18"/>
    </w:rPr>
  </w:style>
  <w:style w:type="paragraph" w:styleId="10">
    <w:name w:val="header"/>
    <w:basedOn w:val="1"/>
    <w:link w:val="4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4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字符"/>
    <w:link w:val="2"/>
    <w:qFormat/>
    <w:uiPriority w:val="1"/>
    <w:rPr>
      <w:rFonts w:ascii="黑体" w:hAnsi="Times New Roman" w:eastAsia="黑体" w:cs="黑体"/>
      <w:b/>
      <w:bCs/>
      <w:kern w:val="0"/>
      <w:sz w:val="36"/>
      <w:szCs w:val="36"/>
    </w:rPr>
  </w:style>
  <w:style w:type="character" w:customStyle="1" w:styleId="22">
    <w:name w:val="标题 2 字符"/>
    <w:link w:val="3"/>
    <w:qFormat/>
    <w:uiPriority w:val="9"/>
    <w:rPr>
      <w:rFonts w:ascii="Cambria" w:hAnsi="Cambria" w:eastAsia="宋体" w:cs="Times New Roman"/>
      <w:b/>
      <w:bCs/>
      <w:sz w:val="32"/>
      <w:szCs w:val="32"/>
    </w:rPr>
  </w:style>
  <w:style w:type="character" w:customStyle="1" w:styleId="23">
    <w:name w:val="标题 3 字符"/>
    <w:link w:val="4"/>
    <w:qFormat/>
    <w:uiPriority w:val="1"/>
    <w:rPr>
      <w:rFonts w:ascii="宋体" w:hAnsi="Times New Roman" w:eastAsia="宋体" w:cs="宋体"/>
      <w:b/>
      <w:bCs/>
      <w:kern w:val="0"/>
      <w:szCs w:val="21"/>
    </w:rPr>
  </w:style>
  <w:style w:type="character" w:customStyle="1" w:styleId="24">
    <w:name w:val="批注文字 字符"/>
    <w:link w:val="5"/>
    <w:qFormat/>
    <w:uiPriority w:val="99"/>
    <w:rPr>
      <w:kern w:val="2"/>
      <w:sz w:val="21"/>
      <w:szCs w:val="22"/>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qFormat/>
    <w:uiPriority w:val="99"/>
  </w:style>
  <w:style w:type="character" w:customStyle="1" w:styleId="27">
    <w:name w:val="批注框文本 字符"/>
    <w:link w:val="8"/>
    <w:semiHidden/>
    <w:qFormat/>
    <w:uiPriority w:val="99"/>
    <w:rPr>
      <w:sz w:val="18"/>
      <w:szCs w:val="18"/>
    </w:rPr>
  </w:style>
  <w:style w:type="character" w:customStyle="1" w:styleId="28">
    <w:name w:val="页脚 字符"/>
    <w:link w:val="9"/>
    <w:qFormat/>
    <w:uiPriority w:val="99"/>
    <w:rPr>
      <w:sz w:val="18"/>
      <w:szCs w:val="18"/>
    </w:rPr>
  </w:style>
  <w:style w:type="character" w:customStyle="1" w:styleId="29">
    <w:name w:val="页眉 字符"/>
    <w:link w:val="10"/>
    <w:qFormat/>
    <w:uiPriority w:val="99"/>
    <w:rPr>
      <w:sz w:val="18"/>
      <w:szCs w:val="18"/>
    </w:rPr>
  </w:style>
  <w:style w:type="character" w:customStyle="1" w:styleId="30">
    <w:name w:val="脚注文本 字符1"/>
    <w:link w:val="11"/>
    <w:qFormat/>
    <w:uiPriority w:val="99"/>
    <w:rPr>
      <w:kern w:val="2"/>
      <w:sz w:val="18"/>
      <w:szCs w:val="18"/>
    </w:rPr>
  </w:style>
  <w:style w:type="character" w:customStyle="1" w:styleId="31">
    <w:name w:val="批注主题 字符"/>
    <w:link w:val="13"/>
    <w:semiHidden/>
    <w:qFormat/>
    <w:uiPriority w:val="99"/>
    <w:rPr>
      <w:b/>
      <w:bCs/>
      <w:kern w:val="2"/>
      <w:sz w:val="21"/>
      <w:szCs w:val="22"/>
    </w:rPr>
  </w:style>
  <w:style w:type="character" w:customStyle="1" w:styleId="32">
    <w:name w:val="标题 1 Char"/>
    <w:link w:val="2"/>
    <w:qFormat/>
    <w:uiPriority w:val="1"/>
    <w:rPr>
      <w:rFonts w:ascii="黑体" w:hAnsi="Times New Roman" w:eastAsia="黑体" w:cs="黑体"/>
      <w:b/>
      <w:bCs/>
      <w:kern w:val="0"/>
      <w:sz w:val="36"/>
      <w:szCs w:val="36"/>
    </w:rPr>
  </w:style>
  <w:style w:type="character" w:customStyle="1" w:styleId="33">
    <w:name w:val="标题 2 Char"/>
    <w:link w:val="3"/>
    <w:qFormat/>
    <w:uiPriority w:val="9"/>
    <w:rPr>
      <w:rFonts w:ascii="Cambria" w:hAnsi="Cambria" w:eastAsia="宋体" w:cs="Times New Roman"/>
      <w:b/>
      <w:bCs/>
      <w:sz w:val="32"/>
      <w:szCs w:val="32"/>
    </w:rPr>
  </w:style>
  <w:style w:type="character" w:customStyle="1" w:styleId="34">
    <w:name w:val="标题 3 Char"/>
    <w:link w:val="4"/>
    <w:qFormat/>
    <w:uiPriority w:val="1"/>
    <w:rPr>
      <w:rFonts w:ascii="宋体" w:hAnsi="Times New Roman" w:eastAsia="宋体" w:cs="宋体"/>
      <w:b/>
      <w:bCs/>
      <w:kern w:val="0"/>
      <w:szCs w:val="21"/>
    </w:rPr>
  </w:style>
  <w:style w:type="character" w:customStyle="1" w:styleId="35">
    <w:name w:val="批注文字 Char"/>
    <w:link w:val="5"/>
    <w:qFormat/>
    <w:uiPriority w:val="99"/>
    <w:rPr>
      <w:rFonts w:ascii="Times New Roman" w:hAnsi="Times New Roman" w:eastAsia="宋体" w:cs="Times New Roman"/>
      <w:kern w:val="2"/>
      <w:sz w:val="21"/>
      <w:szCs w:val="22"/>
    </w:rPr>
  </w:style>
  <w:style w:type="character" w:customStyle="1" w:styleId="36">
    <w:name w:val="正文文本 Char"/>
    <w:link w:val="6"/>
    <w:qFormat/>
    <w:uiPriority w:val="1"/>
    <w:rPr>
      <w:rFonts w:ascii="宋体" w:hAnsi="Times New Roman" w:eastAsia="宋体" w:cs="宋体"/>
      <w:kern w:val="0"/>
      <w:szCs w:val="21"/>
    </w:rPr>
  </w:style>
  <w:style w:type="character" w:customStyle="1" w:styleId="37">
    <w:name w:val="日期 Char"/>
    <w:basedOn w:val="16"/>
    <w:link w:val="7"/>
    <w:semiHidden/>
    <w:qFormat/>
    <w:uiPriority w:val="99"/>
    <w:rPr>
      <w:rFonts w:ascii="Times New Roman" w:hAnsi="Times New Roman" w:eastAsia="宋体" w:cs="Times New Roman"/>
    </w:rPr>
  </w:style>
  <w:style w:type="character" w:customStyle="1" w:styleId="38">
    <w:name w:val="批注框文本 Char"/>
    <w:link w:val="8"/>
    <w:semiHidden/>
    <w:qFormat/>
    <w:uiPriority w:val="99"/>
    <w:rPr>
      <w:rFonts w:ascii="Times New Roman" w:hAnsi="Times New Roman" w:eastAsia="宋体" w:cs="Times New Roman"/>
      <w:sz w:val="18"/>
      <w:szCs w:val="18"/>
    </w:rPr>
  </w:style>
  <w:style w:type="character" w:customStyle="1" w:styleId="39">
    <w:name w:val="页脚 Char"/>
    <w:link w:val="9"/>
    <w:qFormat/>
    <w:uiPriority w:val="99"/>
    <w:rPr>
      <w:rFonts w:ascii="Times New Roman" w:hAnsi="Times New Roman" w:eastAsia="宋体" w:cs="Times New Roman"/>
      <w:sz w:val="18"/>
      <w:szCs w:val="18"/>
    </w:rPr>
  </w:style>
  <w:style w:type="character" w:customStyle="1" w:styleId="40">
    <w:name w:val="页眉 Char"/>
    <w:link w:val="10"/>
    <w:qFormat/>
    <w:uiPriority w:val="99"/>
    <w:rPr>
      <w:rFonts w:ascii="Times New Roman" w:hAnsi="Times New Roman" w:eastAsia="宋体" w:cs="Times New Roman"/>
      <w:sz w:val="18"/>
      <w:szCs w:val="18"/>
    </w:rPr>
  </w:style>
  <w:style w:type="character" w:customStyle="1" w:styleId="41">
    <w:name w:val="批注主题 Char"/>
    <w:link w:val="13"/>
    <w:semiHidden/>
    <w:qFormat/>
    <w:uiPriority w:val="99"/>
    <w:rPr>
      <w:rFonts w:ascii="Times New Roman" w:hAnsi="Times New Roman" w:eastAsia="宋体" w:cs="Times New Roman"/>
      <w:b/>
      <w:bCs/>
      <w:kern w:val="2"/>
      <w:sz w:val="21"/>
      <w:szCs w:val="22"/>
    </w:rPr>
  </w:style>
  <w:style w:type="character" w:customStyle="1" w:styleId="42">
    <w:name w:val="脚注文本 字符"/>
    <w:semiHidden/>
    <w:qFormat/>
    <w:uiPriority w:val="99"/>
    <w:rPr>
      <w:kern w:val="2"/>
      <w:sz w:val="18"/>
      <w:szCs w:val="18"/>
    </w:rPr>
  </w:style>
  <w:style w:type="paragraph" w:styleId="43">
    <w:name w:val="List Paragraph"/>
    <w:basedOn w:val="1"/>
    <w:qFormat/>
    <w:uiPriority w:val="72"/>
    <w:pPr>
      <w:ind w:firstLine="420" w:firstLineChars="200"/>
    </w:pPr>
  </w:style>
  <w:style w:type="paragraph" w:customStyle="1" w:styleId="44">
    <w:name w:val="_Style 43"/>
    <w:semiHidden/>
    <w:qFormat/>
    <w:uiPriority w:val="99"/>
    <w:rPr>
      <w:rFonts w:ascii="Times New Roman" w:hAnsi="Times New Roman" w:eastAsia="宋体" w:cs="Times New Roman"/>
      <w:kern w:val="2"/>
      <w:sz w:val="21"/>
      <w:szCs w:val="22"/>
      <w:lang w:val="en-US" w:eastAsia="zh-CN" w:bidi="ar-SA"/>
    </w:rPr>
  </w:style>
  <w:style w:type="paragraph" w:customStyle="1" w:styleId="4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4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39144</Words>
  <Characters>40273</Characters>
  <Lines>41</Lines>
  <Paragraphs>11</Paragraphs>
  <TotalTime>2</TotalTime>
  <ScaleCrop>false</ScaleCrop>
  <LinksUpToDate>false</LinksUpToDate>
  <CharactersWithSpaces>40508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2025-07-14T07:19:55Z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B24F330173B7492FBB7BCD1B1B15F7F2</vt:lpwstr>
  </property>
</Properties>
</file>