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spacing w:before="0" w:beforeAutospacing="0" w:after="0" w:afterAutospacing="0" w:line="360" w:lineRule="auto"/>
        <w:jc w:val="center"/>
        <w:outlineLvl w:val="0"/>
        <w:rPr>
          <w:rFonts w:hint="eastAsia" w:ascii="楷体" w:hAnsi="楷体" w:eastAsia="楷体"/>
          <w:b/>
          <w:sz w:val="32"/>
          <w:szCs w:val="32"/>
        </w:rPr>
      </w:pPr>
      <w:bookmarkStart w:id="0" w:name="_GoBack"/>
      <w:bookmarkEnd w:id="0"/>
      <w:r>
        <w:rPr>
          <w:rFonts w:hint="eastAsia" w:ascii="楷体" w:hAnsi="楷体" w:eastAsia="楷体"/>
          <w:b/>
          <w:sz w:val="32"/>
          <w:szCs w:val="32"/>
        </w:rPr>
        <w:t>“苏银理财</w:t>
      </w:r>
      <w:r>
        <w:rPr>
          <w:rFonts w:hint="eastAsia" w:ascii="楷体" w:hAnsi="楷体" w:eastAsia="楷体"/>
          <w:b/>
          <w:sz w:val="32"/>
          <w:szCs w:val="32"/>
          <w:lang w:eastAsia="zh-CN"/>
        </w:rPr>
        <w:t>恒源季开放12号</w:t>
      </w:r>
      <w:r>
        <w:rPr>
          <w:rFonts w:hint="eastAsia" w:ascii="楷体" w:hAnsi="楷体" w:eastAsia="楷体"/>
          <w:b/>
          <w:sz w:val="32"/>
          <w:szCs w:val="32"/>
        </w:rPr>
        <w:t>”理财产品风险揭示书</w:t>
      </w:r>
    </w:p>
    <w:p>
      <w:pPr>
        <w:jc w:val="center"/>
        <w:outlineLvl w:val="0"/>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1"/>
        </w:numPr>
        <w:tabs>
          <w:tab w:val="left" w:pos="1134"/>
        </w:tabs>
        <w:ind w:left="0" w:firstLine="562" w:firstLineChars="200"/>
        <w:outlineLvl w:val="0"/>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lang w:val="en-US" w:eastAsia="zh-CN"/>
        </w:rPr>
        <w:t>本金及理财产品收益风险：</w:t>
      </w:r>
      <w:r>
        <w:rPr>
          <w:rFonts w:hint="eastAsia" w:ascii="楷体" w:hAnsi="楷体" w:eastAsia="楷体"/>
          <w:sz w:val="24"/>
          <w:szCs w:val="24"/>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cs="Times New Roman"/>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如本产品通过代销渠道（非产品管理人自有渠道） 销售</w:t>
      </w:r>
      <w:r>
        <w:rPr>
          <w:rFonts w:hint="eastAsia" w:ascii="楷体" w:hAnsi="楷体" w:eastAsia="楷体"/>
          <w:sz w:val="24"/>
          <w:szCs w:val="24"/>
          <w:highlight w:val="none"/>
        </w:rPr>
        <w:t>，</w:t>
      </w:r>
      <w:r>
        <w:rPr>
          <w:rFonts w:hint="eastAsia" w:ascii="楷体" w:hAnsi="楷体" w:eastAsia="楷体"/>
          <w:sz w:val="24"/>
          <w:szCs w:val="24"/>
        </w:rPr>
        <w:t>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3"/>
        </w:numPr>
        <w:tabs>
          <w:tab w:val="left" w:pos="742"/>
        </w:tabs>
        <w:ind w:left="0" w:firstLine="480" w:firstLineChars="200"/>
        <w:outlineLvl w:val="1"/>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outlineLvl w:val="1"/>
        <w:rPr>
          <w:rFonts w:hint="eastAsia" w:ascii="楷体" w:hAnsi="楷体" w:eastAsia="楷体"/>
          <w:sz w:val="24"/>
          <w:szCs w:val="24"/>
        </w:rPr>
      </w:pPr>
      <w:r>
        <w:rPr>
          <w:rFonts w:hint="eastAsia" w:ascii="楷体" w:hAnsi="楷体" w:eastAsia="楷体"/>
          <w:sz w:val="24"/>
          <w:szCs w:val="24"/>
        </w:rPr>
        <w:t>非标准化债权的特殊风险：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融资方还款履约能力可能的变化导致的信用风险。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债务人提前还款或逾期还款的风险。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保证人未履行保证义务的风险等。</w:t>
      </w:r>
    </w:p>
    <w:p>
      <w:pPr>
        <w:numPr>
          <w:ilvl w:val="0"/>
          <w:numId w:val="3"/>
        </w:numPr>
        <w:tabs>
          <w:tab w:val="left" w:pos="742"/>
        </w:tabs>
        <w:ind w:left="0" w:firstLine="480" w:firstLineChars="200"/>
        <w:outlineLvl w:val="1"/>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1"/>
        </w:numPr>
        <w:tabs>
          <w:tab w:val="left" w:pos="1134"/>
        </w:tabs>
        <w:ind w:left="0" w:firstLine="562" w:firstLineChars="200"/>
        <w:outlineLvl w:val="0"/>
        <w:rPr>
          <w:rFonts w:ascii="楷体" w:hAnsi="楷体" w:eastAsia="楷体"/>
          <w:b/>
          <w:sz w:val="28"/>
          <w:szCs w:val="28"/>
        </w:rPr>
      </w:pPr>
      <w:r>
        <w:rPr>
          <w:rFonts w:hint="eastAsia" w:ascii="楷体" w:hAnsi="楷体" w:eastAsia="楷体"/>
          <w:b/>
          <w:sz w:val="28"/>
          <w:szCs w:val="28"/>
        </w:rPr>
        <w:t>投资者提示</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如本理财产品销售机构为江苏银行，则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7"/>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7"/>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7"/>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r>
        <w:rPr>
          <w:rFonts w:hint="eastAsia" w:ascii="楷体" w:hAnsi="楷体" w:eastAsia="楷体"/>
          <w:b/>
          <w:sz w:val="24"/>
          <w:szCs w:val="24"/>
          <w:highlight w:val="none"/>
        </w:rPr>
        <w:t>示例：如投资者购买本理财产品，本金为1万元，在理财产品资产组合项下资产全部亏损的最不利情况下，理财产品1万元本金将全部损失</w:t>
      </w:r>
      <w:r>
        <w:rPr>
          <w:rFonts w:hint="eastAsia" w:ascii="楷体" w:hAnsi="楷体" w:eastAsia="楷体"/>
          <w:b/>
          <w:sz w:val="24"/>
          <w:szCs w:val="24"/>
          <w:highlight w:val="none"/>
          <w:lang w:eastAsia="zh-CN"/>
        </w:rPr>
        <w:t>。</w:t>
      </w:r>
    </w:p>
    <w:p>
      <w:pPr>
        <w:numPr>
          <w:ilvl w:val="0"/>
          <w:numId w:val="7"/>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w:t>
      </w:r>
      <w:r>
        <w:rPr>
          <w:rFonts w:hint="eastAsia" w:ascii="楷体" w:hAnsi="楷体" w:eastAsia="楷体"/>
          <w:sz w:val="24"/>
          <w:szCs w:val="24"/>
          <w:lang w:val="en-US" w:eastAsia="zh-CN"/>
        </w:rPr>
        <w:t>根</w:t>
      </w:r>
      <w:r>
        <w:rPr>
          <w:rFonts w:hint="eastAsia" w:ascii="楷体" w:hAnsi="楷体" w:eastAsia="楷体"/>
          <w:sz w:val="24"/>
          <w:szCs w:val="24"/>
        </w:rPr>
        <w:t>据相关法律、法规严格履行投资者信息保密责任，除监管机构或司法机关等有权机构外，不得对其他第三方提供任何投资者信息。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8"/>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风险承受能力不低于本理财产品的风险评级，适合购买本理财产品。如风险承受能力评估已超过一年，或影响风险承受能力的因素发生变化</w:t>
      </w:r>
      <w:r>
        <w:rPr>
          <w:rFonts w:hint="eastAsia" w:ascii="楷体" w:hAnsi="楷体" w:eastAsia="楷体"/>
          <w:sz w:val="24"/>
          <w:szCs w:val="24"/>
          <w:lang w:eastAsia="zh-CN"/>
        </w:rPr>
        <w:t>，</w:t>
      </w:r>
      <w:r>
        <w:rPr>
          <w:rFonts w:hint="eastAsia" w:ascii="楷体" w:hAnsi="楷体" w:eastAsia="楷体"/>
          <w:sz w:val="24"/>
          <w:szCs w:val="24"/>
        </w:rPr>
        <w:t>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8"/>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b/>
          <w:bCs/>
          <w:sz w:val="24"/>
          <w:szCs w:val="24"/>
          <w:u w:val="single"/>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机构投资者（盖章）：</w:t>
      </w:r>
    </w:p>
    <w:p>
      <w:pPr>
        <w:rPr>
          <w:rFonts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jc w:val="right"/>
        <w:rPr>
          <w:rFonts w:hint="eastAsia"/>
        </w:rPr>
      </w:pPr>
      <w:r>
        <w:rPr>
          <w:rFonts w:hint="eastAsia" w:ascii="楷体" w:hAnsi="楷体" w:eastAsia="楷体"/>
          <w:sz w:val="24"/>
          <w:szCs w:val="24"/>
        </w:rPr>
        <w:t>年   月   日</w:t>
      </w:r>
    </w:p>
    <w:sectPr>
      <w:headerReference r:id="rId9" w:type="first"/>
      <w:headerReference r:id="rId7" w:type="default"/>
      <w:footerReference r:id="rId10" w:type="default"/>
      <w:head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50"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44749"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7"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3">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6">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2437D0C"/>
    <w:rsid w:val="05AA1E2F"/>
    <w:rsid w:val="05C24554"/>
    <w:rsid w:val="061606D5"/>
    <w:rsid w:val="061A2F20"/>
    <w:rsid w:val="062A44D1"/>
    <w:rsid w:val="071D17BE"/>
    <w:rsid w:val="07731EDA"/>
    <w:rsid w:val="09B853C9"/>
    <w:rsid w:val="0A2C5E71"/>
    <w:rsid w:val="0B721E65"/>
    <w:rsid w:val="0C944AE0"/>
    <w:rsid w:val="0DAF4280"/>
    <w:rsid w:val="0EE14842"/>
    <w:rsid w:val="10E55ACF"/>
    <w:rsid w:val="11AB24C0"/>
    <w:rsid w:val="136369E3"/>
    <w:rsid w:val="158E7E44"/>
    <w:rsid w:val="15CF287D"/>
    <w:rsid w:val="16C12DFE"/>
    <w:rsid w:val="17DD217F"/>
    <w:rsid w:val="1B1644A1"/>
    <w:rsid w:val="1FF07889"/>
    <w:rsid w:val="20464D73"/>
    <w:rsid w:val="208C27F0"/>
    <w:rsid w:val="21965E5F"/>
    <w:rsid w:val="225459BF"/>
    <w:rsid w:val="235B6EB4"/>
    <w:rsid w:val="23CE59DC"/>
    <w:rsid w:val="23DE761C"/>
    <w:rsid w:val="27C17BB1"/>
    <w:rsid w:val="28A904E4"/>
    <w:rsid w:val="29B146DF"/>
    <w:rsid w:val="2A6956F3"/>
    <w:rsid w:val="2B573EC3"/>
    <w:rsid w:val="2D2C1113"/>
    <w:rsid w:val="2EE4702E"/>
    <w:rsid w:val="2F2F0392"/>
    <w:rsid w:val="3302137C"/>
    <w:rsid w:val="33076D69"/>
    <w:rsid w:val="336B039B"/>
    <w:rsid w:val="340D75AE"/>
    <w:rsid w:val="353B7940"/>
    <w:rsid w:val="37C97304"/>
    <w:rsid w:val="38563E9E"/>
    <w:rsid w:val="39236D04"/>
    <w:rsid w:val="3BE57419"/>
    <w:rsid w:val="3DDD5D91"/>
    <w:rsid w:val="40CE75B7"/>
    <w:rsid w:val="41401B50"/>
    <w:rsid w:val="434628B6"/>
    <w:rsid w:val="46E83978"/>
    <w:rsid w:val="475B335F"/>
    <w:rsid w:val="47DF749A"/>
    <w:rsid w:val="48DA7951"/>
    <w:rsid w:val="492C007A"/>
    <w:rsid w:val="4B281141"/>
    <w:rsid w:val="4C0E5BAD"/>
    <w:rsid w:val="4C170B63"/>
    <w:rsid w:val="4C6843B9"/>
    <w:rsid w:val="4CAC15F2"/>
    <w:rsid w:val="4CCE4482"/>
    <w:rsid w:val="4DB908E0"/>
    <w:rsid w:val="4E610E21"/>
    <w:rsid w:val="502E27B1"/>
    <w:rsid w:val="518566CD"/>
    <w:rsid w:val="52E818D3"/>
    <w:rsid w:val="53F92798"/>
    <w:rsid w:val="541933E7"/>
    <w:rsid w:val="54235856"/>
    <w:rsid w:val="55142A57"/>
    <w:rsid w:val="55D6017A"/>
    <w:rsid w:val="567468CD"/>
    <w:rsid w:val="57F24C5E"/>
    <w:rsid w:val="58177413"/>
    <w:rsid w:val="5F813FB4"/>
    <w:rsid w:val="60C522F4"/>
    <w:rsid w:val="628778FD"/>
    <w:rsid w:val="6298317C"/>
    <w:rsid w:val="635C1957"/>
    <w:rsid w:val="64E01134"/>
    <w:rsid w:val="668757D1"/>
    <w:rsid w:val="670B2782"/>
    <w:rsid w:val="672D5701"/>
    <w:rsid w:val="683E50DD"/>
    <w:rsid w:val="69203ACC"/>
    <w:rsid w:val="696C040A"/>
    <w:rsid w:val="69C04ABB"/>
    <w:rsid w:val="6A2F5934"/>
    <w:rsid w:val="6ACE4D37"/>
    <w:rsid w:val="6C534188"/>
    <w:rsid w:val="6C683977"/>
    <w:rsid w:val="6EB1256B"/>
    <w:rsid w:val="6EC82FBB"/>
    <w:rsid w:val="70F2045B"/>
    <w:rsid w:val="720F2076"/>
    <w:rsid w:val="724C0152"/>
    <w:rsid w:val="7396760B"/>
    <w:rsid w:val="73EB293D"/>
    <w:rsid w:val="74966354"/>
    <w:rsid w:val="752F30C8"/>
    <w:rsid w:val="767102FE"/>
    <w:rsid w:val="76D16F69"/>
    <w:rsid w:val="7744581F"/>
    <w:rsid w:val="77667C2A"/>
    <w:rsid w:val="79647B21"/>
    <w:rsid w:val="7B54390E"/>
    <w:rsid w:val="7BA90674"/>
    <w:rsid w:val="7E34652C"/>
    <w:rsid w:val="7E445010"/>
    <w:rsid w:val="7E5E3B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tblPr>
      <w:tblCellMar>
        <w:top w:w="0" w:type="dxa"/>
        <w:left w:w="108" w:type="dxa"/>
        <w:bottom w:w="0" w:type="dxa"/>
        <w:right w:w="108" w:type="dxa"/>
      </w:tblCellMar>
    </w:tblPr>
  </w:style>
  <w:style w:type="paragraph" w:styleId="5">
    <w:name w:val="annotation text"/>
    <w:basedOn w:val="1"/>
    <w:link w:val="24"/>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8"/>
    <w:unhideWhenUsed/>
    <w:uiPriority w:val="99"/>
    <w:pPr>
      <w:tabs>
        <w:tab w:val="center" w:pos="4153"/>
        <w:tab w:val="right" w:pos="8306"/>
      </w:tabs>
      <w:snapToGrid w:val="0"/>
      <w:jc w:val="left"/>
    </w:pPr>
    <w:rPr>
      <w:kern w:val="0"/>
      <w:sz w:val="18"/>
      <w:szCs w:val="18"/>
    </w:rPr>
  </w:style>
  <w:style w:type="paragraph" w:styleId="10">
    <w:name w:val="header"/>
    <w:basedOn w:val="1"/>
    <w:link w:val="29"/>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标题 1 字符"/>
    <w:link w:val="2"/>
    <w:uiPriority w:val="1"/>
    <w:rPr>
      <w:rFonts w:ascii="黑体" w:hAnsi="Times New Roman" w:eastAsia="黑体" w:cs="黑体"/>
      <w:b/>
      <w:bCs/>
      <w:kern w:val="0"/>
      <w:sz w:val="36"/>
      <w:szCs w:val="36"/>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标题 3 字符"/>
    <w:link w:val="4"/>
    <w:uiPriority w:val="1"/>
    <w:rPr>
      <w:rFonts w:ascii="宋体" w:hAnsi="Times New Roman" w:eastAsia="宋体" w:cs="宋体"/>
      <w:b/>
      <w:bCs/>
      <w:kern w:val="0"/>
      <w:szCs w:val="21"/>
    </w:rPr>
  </w:style>
  <w:style w:type="character" w:customStyle="1" w:styleId="24">
    <w:name w:val="批注文字 字符"/>
    <w:link w:val="5"/>
    <w:uiPriority w:val="99"/>
    <w:rPr>
      <w:kern w:val="2"/>
      <w:sz w:val="21"/>
      <w:szCs w:val="22"/>
    </w:rPr>
  </w:style>
  <w:style w:type="character" w:customStyle="1" w:styleId="25">
    <w:name w:val="正文文本 字符"/>
    <w:link w:val="6"/>
    <w:uiPriority w:val="1"/>
    <w:rPr>
      <w:rFonts w:ascii="宋体" w:hAnsi="Times New Roman" w:eastAsia="宋体" w:cs="宋体"/>
      <w:kern w:val="0"/>
      <w:szCs w:val="21"/>
    </w:rPr>
  </w:style>
  <w:style w:type="character" w:customStyle="1" w:styleId="26">
    <w:name w:val="日期 字符"/>
    <w:basedOn w:val="16"/>
    <w:link w:val="7"/>
    <w:semiHidden/>
    <w:uiPriority w:val="99"/>
  </w:style>
  <w:style w:type="character" w:customStyle="1" w:styleId="27">
    <w:name w:val="批注框文本 字符"/>
    <w:link w:val="8"/>
    <w:semiHidden/>
    <w:uiPriority w:val="99"/>
    <w:rPr>
      <w:sz w:val="18"/>
      <w:szCs w:val="18"/>
    </w:rPr>
  </w:style>
  <w:style w:type="character" w:customStyle="1" w:styleId="28">
    <w:name w:val="页脚 字符"/>
    <w:link w:val="9"/>
    <w:uiPriority w:val="99"/>
    <w:rPr>
      <w:sz w:val="18"/>
      <w:szCs w:val="18"/>
    </w:rPr>
  </w:style>
  <w:style w:type="character" w:customStyle="1" w:styleId="29">
    <w:name w:val="页眉 字符"/>
    <w:link w:val="10"/>
    <w:uiPriority w:val="99"/>
    <w:rPr>
      <w:sz w:val="18"/>
      <w:szCs w:val="18"/>
    </w:rPr>
  </w:style>
  <w:style w:type="character" w:customStyle="1" w:styleId="30">
    <w:name w:val="脚注文本 字符1"/>
    <w:link w:val="11"/>
    <w:uiPriority w:val="99"/>
    <w:rPr>
      <w:kern w:val="2"/>
      <w:sz w:val="18"/>
      <w:szCs w:val="18"/>
    </w:rPr>
  </w:style>
  <w:style w:type="character" w:customStyle="1" w:styleId="31">
    <w:name w:val="批注主题 字符"/>
    <w:link w:val="13"/>
    <w:semiHidden/>
    <w:uiPriority w:val="99"/>
    <w:rPr>
      <w:b/>
      <w:bCs/>
      <w:kern w:val="2"/>
      <w:sz w:val="21"/>
      <w:szCs w:val="22"/>
    </w:rPr>
  </w:style>
  <w:style w:type="character" w:customStyle="1" w:styleId="32">
    <w:name w:val="脚注文本 字符"/>
    <w:semiHidden/>
    <w:uiPriority w:val="99"/>
    <w:rPr>
      <w:kern w:val="2"/>
      <w:sz w:val="18"/>
      <w:szCs w:val="18"/>
    </w:rPr>
  </w:style>
  <w:style w:type="paragraph" w:styleId="33">
    <w:name w:val="List Paragraph"/>
    <w:basedOn w:val="1"/>
    <w:qFormat/>
    <w:uiPriority w:val="72"/>
    <w:pPr>
      <w:ind w:firstLine="420" w:firstLineChars="200"/>
    </w:pPr>
  </w:style>
  <w:style w:type="paragraph" w:customStyle="1" w:styleId="34">
    <w:name w:val="_Style 33"/>
    <w:semiHidden/>
    <w:uiPriority w:val="99"/>
    <w:rPr>
      <w:rFonts w:ascii="Calibri" w:hAnsi="Calibri"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5930</Words>
  <Characters>5935</Characters>
  <Lines>41</Lines>
  <Paragraphs>11</Paragraphs>
  <TotalTime>0</TotalTime>
  <ScaleCrop>false</ScaleCrop>
  <LinksUpToDate>false</LinksUpToDate>
  <CharactersWithSpaces>6062</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2025-07-14T07:19:53Z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94DE53CD7FDD49A589EEAAAF9480CAED</vt:lpwstr>
  </property>
</Properties>
</file>