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幸福99丰裕固收385天25001期理财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幸福99丰裕固收385天25001期理财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2026年2月4日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1,626,331,195.41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106.00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1,626,331,195.41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1,604,377,147.00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1.0137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1.0137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638,677,047.42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403,245,540.27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144,293,831.47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158,158,257.98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255,950,756.10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丰裕固收25001期H款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21,710,963.44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丰裕固收25001期Z款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4,294,798.73</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丰裕固收25001期H款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丰裕固收25001期Z款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17.68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72.35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上海信托·瑞诚13号·嵊州城建信托计划-2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381,894,335.58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中信信托·新悦164号·玉环国资债权投资计划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127,059,042.30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中信信托·新悦132号·嵊州交投债权投资计划-2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100,026,222.50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华夏中短债债券型证券投资基金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70,651,294.69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粤财信托·常华111号海盐产投信托贷款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66,621,114.27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24东台城建MTN001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62,233,184.38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22湖投03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53,170,932.19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24历城控股PPN001A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50,867,984.25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杭工商信托·玖盈124号-德清经开信托贷款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50,005,007.12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杭工商信托·玖盈124号-莫干山产投信托贷款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50,005,007.12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3.07</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94,030,241.62</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5.78</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中信信托·新悦132号·嵊州交投债权投资计划-2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100,026,222.50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上海信托·瑞诚13号·嵊州城建信托计划-2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381,894,335.58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浙江德清经开投资集团有限公司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杭工商信托·玖盈124号-德清经开信托贷款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50,005,007.12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海盐县国有产业投资集团有限公司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粤财信托·常华111号海盐产投信托贷款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66,621,114.27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湖州莫干山高新产业投资发展集团有限公司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杭工商信托·玖盈124号-莫干山产投信托贷款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50,005,007.12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玉环市国有资产投资经营集团有限公司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中信信托·新悦164号·玉环国资债权投资计划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127,059,042.30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1,604,377,147.00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1,604,377,147.00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杭银理财幸福99丰裕固收385天25001期理财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3301040160015309811-5125001</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