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幸福99丰裕固收386天24225期理财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幸福99丰裕固收386天24225期理财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FYG24225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Z7002224000281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2024年9月24日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2025年10月15日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3.15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1,208,217,509.77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108.65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1,208,217,509.77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1,179,980,883.00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1.0239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1.0239</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丰裕固收24225期B款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94,438,685.61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丰裕固收24225期C款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193,164,762.87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丰裕固收24225期D款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194,830,654.94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丰裕固收24225期E款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560,301,449.76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丰裕固收24225期F款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FYG24225F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77,650,059.87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丰裕固收24225期G款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FYG24225G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69,187,191.40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丰裕固收24225期Z款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FYG24225Z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18,644,705.32</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丰裕固收24225期B款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丰裕固收24225期C款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丰裕固收24225期D款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丰裕固收24225期E款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丰裕固收24225期F款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丰裕固收24225期G款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丰裕固收24225期Z款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3.32</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0.28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0.79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0.69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30.15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34.06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43.54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0.65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18.61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18.60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50.96</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中原信托·宁波象山海投信托贷款（鹏元12期第4号）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199,149,360.60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中原信托·宁波象山大目湾信托贷款（鹏元12期第3号）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149,080,406.20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重庆信托·阜阳顺昌集合资金信托计划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121,628,449.12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嘉实中短债债券型证券投资基金A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95,694,245.87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7.92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中信信托·新悦131号金华金开国控债权投资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90,109,513.25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建信纯债债券型证券投资基金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80,484,144.28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6.66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22建设银行二级01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54,403,744.43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21中国银行二级03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52,360,902.05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24高淳建设CP012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50,876,800.00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华夏纯债债券型证券投资基金A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40,325,284.13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3.34</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98,029,378.07</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8.11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宁波象山海洋产业投资集团有限公司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中原信托·宁波象山海投信托贷款（鹏元12期第4号）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2025-10-13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199,149,360.60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张家港市高铁投资发展（集团）有限公司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中原信托-张家港高铁信托贷款2401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2025-09-27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1,000,541.90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中原信托·宁波象山大目湾信托贷款（鹏元12期第3号）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2025-10-13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149,080,406.20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金华金开国有资本控股集团有限公司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中信信托·新悦131号金华金开国控债权投资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2025-10-13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90,109,513.25</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阜阳市顺昌实业发展投资有限公司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重庆信托·阜阳顺昌集合资金信托计划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2025-10-13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121,628,449.12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阜阳市顺昌实业发展投资有限公司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重庆信托·阜阳顺昌集合资金信托计划-2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2025-10-08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11,010,134.52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1,179,980,883.00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1,179,980,883.00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14030B">
            <w:pPr>
              <w:adjustRightInd w:val="0"/>
              <w:snapToGrid w:val="0"/>
              <w:jc w:val="center"/>
              <w:rPr>
                <w:rFonts w:ascii="仿宋" w:eastAsia="仿宋" w:hAnsi="仿宋" w:cs="仿宋"/>
                <w:color w:val="000000"/>
                <w:kern w:val="0"/>
                <w:sz w:val="24"/>
                <w:szCs w:val="20"/>
                <w:lang w:eastAsia="zh-Hans"/>
              </w:rPr>
            </w:pPr>
            <w:r>
              <w:rPr>
                <w:rFonts w:ascii="仿宋" w:eastAsia="仿宋" w:hAnsi="仿宋" w:cs="仿宋" w:hint="eastAsia"/>
                <w:color w:val="000000"/>
                <w:kern w:val="0"/>
                <w:sz w:val="24"/>
                <w:lang w:eastAsia="zh-Hans"/>
              </w:rPr>
              <w:t>21拱墅城投PPN001</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91,450,260.00</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900,000.00</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杭银理财幸福99丰裕固收386天24225期理财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3301040160015309811-5124225</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