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幸福99丰裕固收386天24277期理财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幸福99丰裕固收386天24277期理财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FYG24277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Z7002224000348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2024年12月3日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2025年12月24日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633,425,510.23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106.98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633,425,510.23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622,378,854.00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1.0177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1.0177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丰裕固收24277期A款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181,611,037.95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66,809,697.29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198,930,233.53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丰裕固收24277期D款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21,526,287.31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丰裕固收24277期G款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112,947,560.35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丰裕固收24277期H款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16,574,085.70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丰裕固收24277期S款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FYG24277S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29,569,421.03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丰裕固收24277期Z款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5,457,187.07</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丰裕固收24277期A款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丰裕固收24277期D款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丰裕固收24277期G款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丰裕固收24277期H款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丰裕固收24277期S款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丰裕固收24277期Z款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3.13</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50.60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44.45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48.99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外贸信托-丰泽19号集合资金信托计划-桐庐新城-1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167,127,761.94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26.39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中信信托·新悦137号固定收益类信托计划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134,115,300.30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22中国银行二级01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41,468,339.73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24普陀国资PPN001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41,147,413.70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22金东01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41,135,350.76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25宿迁新城SCP002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40,257,783.00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25高科01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30,355,034.80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24长江开发PPN001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30,341,815.48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23邳州润城MTN001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20,578,837.81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24普陀国资PPN003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20,518,613.97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3.24</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42,016,241.04</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6.63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丽水市城市建设投资集团有限公司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中信信托·新悦137号固定收益类信托计划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2025-12-14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134,115,300.30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桐庐新城发展投资有限公司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外贸信托-丰泽19号集合资金信托计划-桐庐新城-1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167,127,761.94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622,378,854.00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622,378,854.00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24普陀国资PPN003</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20,454,916.71</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杭银理财幸福99丰裕固收386天24277期理财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3301040160015309811-5124277</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