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幸福99丰裕固收386天25056期理财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幸福99丰裕固收386天25056期理财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FYG25056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Z7002225000080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2025年3月25日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2026年4月15日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2.70-3.10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1,539,806,688.20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113.95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1,539,806,688.20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1,527,154,170.00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1.0083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1.0083</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丰裕固收25056期A款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FYG25056A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1.0081</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1.0081</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580,968,550.68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丰裕固收25056期B款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FYG25056B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1.0083</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1.0083</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393,891,037.38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丰裕固收25056期C款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FYG25056C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1.0085</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1.0085</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221,765,256.44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丰裕固收25056期D款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FYG25056D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1.0085</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1.0085</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128,780,585.75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丰裕固收25056期G款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FYG25056G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1.0087</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1.0087</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86,710,396.38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丰裕固收25056期H款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FYG25056H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1.0083</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1.0083</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20,197,414.13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丰裕固收25056期J款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FYG25056J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1.0087</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1.0087</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12,961,164.44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丰裕固收25056期L款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FYG25056L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1.0085</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1.0085</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18,791,019.75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丰裕固收25056期N款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FYG25056N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1.0081</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1.0081</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55,570,341.64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丰裕固收25056期U款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FYG25056U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1.0085</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1.0085</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20,170,921.61</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丰裕固收25056期A款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2.90</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3.04</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3.05</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3.05</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丰裕固收25056期B款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丰裕固收25056期C款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丰裕固收25056期D款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丰裕固收25056期G款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3.24</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3.27</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3.27</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丰裕固收25056期H款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丰裕固收25056期J款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3.24</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3.27</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3.27</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丰裕固收25056期L款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丰裕固收25056期N款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2.90</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3.04</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3.05</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3.05</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丰裕固收25056期U款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3.20</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0.17</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0.53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0.70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59.21</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85.05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10.82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0.70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2.26</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38.36</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江苏信托·萧山经开信托贷款（杭享2号）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158,043,744.08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10.26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22城铁债</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124,356,101.92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8.08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23衢控K1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112,781,324.88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7.32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23扬州新材MTN001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63,055,258.36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4.10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24泰凤04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60,909,671.51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3.96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25新昌01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60,690,872.87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3.94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24德发02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52,111,056.49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3.38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24柯建01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51,647,855.48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3.35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20蓉经开PPN001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41,550,753.42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2.70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24柯岩建设PPN002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41,138,958.90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2.67</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211,062,155.35</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13.71</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嘉兴经济技术开发区建设投资集团有限公司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国通信托·嘉兴经开信托贷款（嘉杭1号）</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2026-04-13</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35,930,124.30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杭州萧山经济技术开发区国有资本控股集团有限公司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江苏信托·萧山经开信托贷款（杭享2号）</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2026-04-13</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158,043,744.08</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1,527,154,170.00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1,527,154,170.00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14030B">
            <w:pPr>
              <w:adjustRightInd w:val="0"/>
              <w:snapToGrid w:val="0"/>
              <w:jc w:val="center"/>
              <w:rPr>
                <w:rFonts w:ascii="仿宋" w:eastAsia="仿宋" w:hAnsi="仿宋" w:cs="仿宋"/>
                <w:color w:val="000000"/>
                <w:kern w:val="0"/>
                <w:sz w:val="24"/>
                <w:szCs w:val="20"/>
                <w:lang w:eastAsia="zh-Hans"/>
              </w:rPr>
            </w:pPr>
            <w:r>
              <w:rPr>
                <w:rFonts w:ascii="仿宋" w:eastAsia="仿宋" w:hAnsi="仿宋" w:cs="仿宋" w:hint="eastAsia"/>
                <w:color w:val="000000"/>
                <w:kern w:val="0"/>
                <w:sz w:val="24"/>
                <w:lang w:eastAsia="zh-Hans"/>
              </w:rPr>
              <w:t>24柯岩建设PPN002</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40,589,377.54</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400,000.00</w:t>
            </w:r>
          </w:p>
        </w:tc>
      </w:tr>
      <w:tr>
        <w:tblPrEx>
          <w:tblW w:w="8994" w:type="dxa"/>
          <w:tblInd w:w="67" w:type="dxa"/>
          <w:tblLayout w:type="fixed"/>
          <w:tblLook w:val="04A0"/>
        </w:tblPrEx>
        <w:trPr>
          <w:trHeight w:val="462"/>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14030B">
            <w:pPr>
              <w:adjustRightInd w:val="0"/>
              <w:snapToGrid w:val="0"/>
              <w:jc w:val="center"/>
              <w:rPr>
                <w:rFonts w:ascii="仿宋" w:eastAsia="仿宋" w:hAnsi="仿宋" w:cs="仿宋"/>
                <w:color w:val="000000"/>
                <w:kern w:val="0"/>
                <w:sz w:val="24"/>
                <w:szCs w:val="20"/>
                <w:lang w:eastAsia="zh-Hans"/>
              </w:rPr>
            </w:pPr>
            <w:r>
              <w:rPr>
                <w:rFonts w:ascii="仿宋" w:eastAsia="仿宋" w:hAnsi="仿宋" w:cs="仿宋" w:hint="eastAsia"/>
                <w:color w:val="000000"/>
                <w:kern w:val="0"/>
                <w:sz w:val="24"/>
                <w:lang w:eastAsia="zh-Hans"/>
              </w:rPr>
              <w:t>21振东新投PPN002</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20,392,650.14</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200,000.00</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杭银理财幸福99丰裕固收386天25056期理财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3301040160015309811-5125056</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