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幸福99丰裕固收762天24223期理财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幸福99丰裕固收762天24223期理财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Z7002224000272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2026年10月21日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281,349,701.83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104.90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281,349,701.83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274,556,202.00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11,261,211.33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17,834,154.13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24,328,908.66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5,462,197.93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丰裕固收24223期E款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222,463,229.78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4.53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4.28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4.76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4.65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4.65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丰裕固收24223期E款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4.65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27.72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37.69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64.44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中信信托·新悦150号·诸暨建设债权投资计划-1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69,972,451.16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39,980,710.84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21,982,715.59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富国中债7-10年政策性金融债联接E</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21,794,339.13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24玉环城建PPN001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20,552,529.59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24金华金义PPN001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20,447,631.23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20,232,511.23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24黑牡丹GN003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10,299,239.73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24海发宝诚MTN005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10,284,566.44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质押式逆回购(711005-000393)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4,499,421.47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1.60</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13,003,801.35</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4.62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21,982,715.59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39,980,710.84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中信信托·新悦150号·诸暨建设债权投资计划-1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69,972,451.16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274,556,202.00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274,556,202.00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杭银理财幸福99丰裕固收762天24223期理财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3301040160015309811-5124223</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