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幸福99丰裕固收762天24232期理财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幸福99丰裕固收762天24232期理财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FYG24232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Z7002224000286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2024年10月10日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2026年11月11日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443,457,148.12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100.41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443,457,148.12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433,691,517.00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1.0225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1.0225</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丰裕固收24232期A款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11,341,652.55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丰裕固收24232期B款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14,465,389.48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丰裕固收24232期C款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32,391,845.22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丰裕固收24232期D款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6,931,694.67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丰裕固收24232期E款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378,326,566.20</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丰裕固收24232期A款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丰裕固收24232期B款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3.46</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丰裕固收24232期C款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丰裕固收24232期D款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丰裕固收24232期E款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为主要策略，继续保持杠杆。</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23.05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39.63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47.15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8.71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8.71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67.24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中信信托·惠州仲恺城发债权2403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121,008,045.51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中信信托·新悦116号·绍兴滨海债权投资计划-1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88,957,081.74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20.06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24崇德投资PPN001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40,907,415.89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24溧水经开PPN006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30,694,542.74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23蓝天02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20,723,285.48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兴业添利债券型证券投资基金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20,013,356.30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中加丰润纯债债券型证券投资基金A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18,767,611.60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质押式逆回购(711005-000393)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13,556,730.78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24淮城01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10,324,057.40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25山东47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9,504,443.27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2.14</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惠州仲恺城市发展集团有限公司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中信信托·惠州仲恺城发债权2403</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121,008,045.51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中信信托·新悦116号·绍兴滨海债权投资计划-1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2026-10-19</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88,957,081.74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433,691,517.00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433,691,517.00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杭银理财幸福99丰裕固收762天24232期理财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3301040160015309811-5124232</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