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幸福99丰裕固收762天24238期理财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幸福99丰裕固收762天24238期理财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FYG24238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2026年11月18日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612,966,671.01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101.16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612,966,671.01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599,679,629.00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1.0222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1.0222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丰裕固收24238期A款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10,309,264.55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丰裕固收24238期B款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12,191,954.81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丰裕固收24238期C款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18,572,323.66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丰裕固收24238期D款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13,296,778.84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丰裕固收24238期E款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558,596,349.15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丰裕固收24238期A款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丰裕固收24238期B款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丰裕固收24238期C款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丰裕固收24238期D款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丰裕固收24238期E款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3.15</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31.59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45.66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64.82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中信信托·新悦152号·诸暨国资债权投资计划-1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248,064,063.21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23鄞开01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51,884,721.92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51,157,571.23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中信信托·惠州仲恺城发债权2403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43,002,859.16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23榕建01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20,817,484.38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23湖州经开MTN003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20,795,986.30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24金东城投MTN002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20,547,262.19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24海发宝诚MTN002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20,422,759.18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兴业添利债券型证券投资基金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20,013,356.30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24庐江城投MTN001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10,287,340.00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1.68</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4,001,030.12</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0.65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中信信托·惠州仲恺城发债权2403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43,002,859.16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中信信托·新悦152号·诸暨国资债权投资计划-1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248,064,063.21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599,679,629.00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599,679,629.00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杭银理财幸福99丰裕固收762天24238期理财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3301040160015309811-5124238</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