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幸福99丰裕固收762天24242期理财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幸福99丰裕固收762天24242期理财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FYG24242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Z7002224000296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2024年10月24日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2026年11月25日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2.85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266,025,003.45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100.67</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266,025,003.45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260,451,664.00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1.0214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1.0214</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丰裕固收24242期A款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FYG24242A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1.0206</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1.0206</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8,393,074.92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丰裕固收24242期B款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FYG24242B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1.0220</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1.0220</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19,799,179.49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丰裕固收24242期C款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FYG24242C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8,621,273.68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丰裕固收24242期D款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FYG24242D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1.0217</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1.0217</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2,062,034.34</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丰裕固收24242期E款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FYG24242E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227,149,441.02</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丰裕固收24242期A款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2.80</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丰裕固收24242期B款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3.22</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丰裕固收24242期C款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2.94</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3.14</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丰裕固收24242期D款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2.98</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3.18</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丰裕固收24242期E款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3.22</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2.94</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3.14</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3.14</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稳利低波系列以期限匹配为主要策略，继续保持杠杆。</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0.93</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2.85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34.45</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48.83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46.98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64.62</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重庆信托·马鞍山国控集合资金信托计划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73,891,461.54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27.78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中信信托·新悦152号·诸暨国资债权投资计划-1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52,013,432.66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19.55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23晋能电力MTN017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20,820,645.21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7.83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24舟山旅游MTN001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20,588,629.04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7.74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24湖南能源MTN005A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20,562,366.85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7.73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24合肥高新MTN002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20,232,817.81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7.61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24德清建设MTN002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10,056,842.60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3.78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25国开10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8,629,056.42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3.24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质押式逆回购(711005-000393)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4,100,602.29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1.54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3,657,749.64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1.38</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诸暨市国有资产经营有限公司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中信信托·新悦152号·诸暨国资债权投资计划-1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2026-11-16</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52,013,432.66</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马鞍山市国有资本投资运营控股集团有限公司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重庆信托·马鞍山国控集合资金信托计划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2026-11-23</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73,891,461.54</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260,451,664.00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260,451,664.00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杭银理财幸福99丰裕固收762天24242期理财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3301040160015309811-5124242</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