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苏银理财恒源封闭债权218期优选2年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在购买本理财产品前，投资者应确保自己完全理解该项投资的性质和所涉及的风险，详细了解和审慎评估该理财产品的</w:t>
      </w:r>
      <w:r>
        <w:rPr>
          <w:rFonts w:hint="eastAsia" w:ascii="楷体" w:hAnsi="楷体" w:eastAsia="楷体"/>
          <w:color w:val="auto"/>
          <w:sz w:val="21"/>
          <w:szCs w:val="21"/>
          <w:lang w:val="en-US" w:eastAsia="zh-CN"/>
        </w:rPr>
        <w:t>资金投向</w:t>
      </w:r>
      <w:r>
        <w:rPr>
          <w:rFonts w:hint="eastAsia" w:ascii="楷体" w:hAnsi="楷体" w:eastAsia="楷体"/>
          <w:color w:val="auto"/>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w:t>
      </w:r>
      <w:r>
        <w:rPr>
          <w:rFonts w:hint="eastAsia" w:ascii="楷体" w:hAnsi="楷体" w:eastAsia="楷体"/>
          <w:b/>
          <w:color w:val="auto"/>
          <w:sz w:val="21"/>
          <w:szCs w:val="21"/>
          <w:u w:val="single"/>
          <w:lang w:val="en-US" w:eastAsia="zh-CN"/>
        </w:rPr>
        <w:t>不等同于银行存款，</w:t>
      </w:r>
      <w:r>
        <w:rPr>
          <w:rFonts w:hint="eastAsia" w:ascii="楷体" w:hAnsi="楷体" w:eastAsia="楷体"/>
          <w:b/>
          <w:color w:val="auto"/>
          <w:sz w:val="21"/>
          <w:szCs w:val="21"/>
          <w:u w:val="single"/>
        </w:rPr>
        <w:t>不保证本金及收益，您的本金可能因市场变动或者交易违约等事项而蒙受相应损失，投资者应充分认识投资风险，谨慎投资</w:t>
      </w:r>
      <w:r>
        <w:rPr>
          <w:rFonts w:hint="eastAsia" w:ascii="楷体" w:hAnsi="楷体" w:eastAsia="楷体"/>
          <w:b/>
          <w:color w:val="auto"/>
          <w:sz w:val="21"/>
          <w:szCs w:val="21"/>
          <w:u w:val="single"/>
          <w:lang w:eastAsia="zh-CN"/>
        </w:rPr>
        <w:t>。</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本理财产品过往业绩不代表其未来表现，不等于理财产品实际收益，投资须谨慎。</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本理财产品的任何业绩比较区间、业绩比较基准</w:t>
      </w:r>
      <w:r>
        <w:rPr>
          <w:rFonts w:hint="eastAsia" w:ascii="楷体" w:hAnsi="楷体" w:eastAsia="楷体"/>
          <w:b/>
          <w:color w:val="auto"/>
          <w:sz w:val="21"/>
          <w:szCs w:val="21"/>
          <w:u w:val="single"/>
          <w:lang w:val="en-US" w:eastAsia="zh-CN"/>
        </w:rPr>
        <w:t>等</w:t>
      </w:r>
      <w:r>
        <w:rPr>
          <w:rFonts w:hint="eastAsia" w:ascii="楷体" w:hAnsi="楷体" w:eastAsia="楷体"/>
          <w:b/>
          <w:color w:val="auto"/>
          <w:sz w:val="21"/>
          <w:szCs w:val="21"/>
          <w:u w:val="single"/>
        </w:rPr>
        <w:t>类似表述均属不具有法律约束力的用语</w:t>
      </w:r>
      <w:r>
        <w:rPr>
          <w:rFonts w:hint="eastAsia" w:ascii="楷体" w:hAnsi="楷体" w:eastAsia="楷体"/>
          <w:b/>
          <w:color w:val="auto"/>
          <w:sz w:val="21"/>
          <w:szCs w:val="21"/>
          <w:u w:val="single"/>
          <w:lang w:eastAsia="zh-CN"/>
        </w:rPr>
        <w:t>。</w:t>
      </w:r>
      <w:r>
        <w:rPr>
          <w:rFonts w:hint="eastAsia" w:ascii="楷体" w:hAnsi="楷体" w:eastAsia="楷体"/>
          <w:b/>
          <w:color w:val="auto"/>
          <w:szCs w:val="21"/>
          <w:highlight w:val="none"/>
          <w:u w:val="single"/>
        </w:rPr>
        <w:t>业绩比较基准</w:t>
      </w:r>
      <w:r>
        <w:rPr>
          <w:rFonts w:hint="eastAsia" w:ascii="楷体" w:hAnsi="楷体" w:eastAsia="楷体"/>
          <w:b/>
          <w:color w:val="auto"/>
          <w:sz w:val="21"/>
          <w:szCs w:val="21"/>
          <w:highlight w:val="none"/>
          <w:u w:val="single"/>
          <w:lang w:val="en-US" w:eastAsia="zh-CN"/>
        </w:rPr>
        <w:t>为</w:t>
      </w:r>
      <w:r>
        <w:rPr>
          <w:rFonts w:hint="eastAsia" w:ascii="楷体" w:hAnsi="楷体" w:eastAsia="楷体"/>
          <w:b/>
          <w:color w:val="auto"/>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《风险揭示书》、《理财产品说明书》、《理财产品投资协议书》</w:t>
      </w:r>
      <w:r>
        <w:rPr>
          <w:rFonts w:hint="eastAsia" w:ascii="楷体" w:hAnsi="楷体" w:eastAsia="楷体"/>
          <w:sz w:val="21"/>
          <w:szCs w:val="21"/>
          <w:lang w:eastAsia="zh-CN"/>
        </w:rPr>
        <w:t>、</w:t>
      </w:r>
      <w:r>
        <w:rPr>
          <w:rFonts w:hint="eastAsia" w:ascii="楷体" w:hAnsi="楷体" w:eastAsia="楷体"/>
          <w:sz w:val="21"/>
          <w:szCs w:val="21"/>
        </w:rPr>
        <w:t>《投资者权益须知》、《理财产品（代理）销售协议书》共同构成本理财产品完整</w:t>
      </w:r>
      <w:r>
        <w:rPr>
          <w:rFonts w:hint="eastAsia" w:ascii="楷体" w:hAnsi="楷体" w:eastAsia="楷体"/>
          <w:sz w:val="21"/>
          <w:szCs w:val="21"/>
          <w:lang w:val="en-US" w:eastAsia="zh-CN"/>
        </w:rPr>
        <w:t>且</w:t>
      </w:r>
      <w:r>
        <w:rPr>
          <w:rFonts w:hint="eastAsia" w:ascii="楷体" w:hAnsi="楷体" w:eastAsia="楷体"/>
          <w:sz w:val="21"/>
          <w:szCs w:val="21"/>
        </w:rPr>
        <w:t>不可分割的</w:t>
      </w:r>
      <w:r>
        <w:rPr>
          <w:rFonts w:hint="eastAsia" w:ascii="楷体" w:hAnsi="楷体" w:eastAsia="楷体"/>
          <w:sz w:val="21"/>
          <w:szCs w:val="21"/>
          <w:lang w:val="en-US" w:eastAsia="zh-CN"/>
        </w:rPr>
        <w:t>销售文件</w:t>
      </w:r>
      <w:r>
        <w:rPr>
          <w:rFonts w:hint="eastAsia" w:ascii="楷体" w:hAnsi="楷体" w:eastAsia="楷体"/>
          <w:sz w:val="21"/>
          <w:szCs w:val="21"/>
        </w:rPr>
        <w:t>。</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如有）</w:t>
      </w:r>
      <w:r>
        <w:rPr>
          <w:rFonts w:hint="eastAsia" w:ascii="楷体" w:hAnsi="楷体" w:eastAsia="楷体"/>
          <w:color w:val="auto"/>
          <w:sz w:val="21"/>
          <w:szCs w:val="21"/>
        </w:rPr>
        <w:t>、其他风险等。请仔细阅读《“</w:t>
      </w:r>
      <w:r>
        <w:rPr>
          <w:rFonts w:hint="eastAsia" w:ascii="楷体" w:hAnsi="楷体" w:eastAsia="楷体"/>
          <w:color w:val="auto"/>
          <w:sz w:val="21"/>
          <w:szCs w:val="21"/>
          <w:lang w:eastAsia="zh-CN"/>
        </w:rPr>
        <w:t>苏银理财恒源封闭债权218期优选2年</w:t>
      </w:r>
      <w:r>
        <w:rPr>
          <w:rFonts w:hint="eastAsia" w:ascii="楷体" w:hAnsi="楷体" w:eastAsia="楷体"/>
          <w:color w:val="auto"/>
          <w:sz w:val="21"/>
          <w:szCs w:val="21"/>
        </w:rPr>
        <w:t>”理财产品风险揭示书》的“风险揭示”部分。</w:t>
      </w:r>
    </w:p>
    <w:p>
      <w:pPr>
        <w:widowControl/>
        <w:numPr>
          <w:ilvl w:val="0"/>
          <w:numId w:val="1"/>
        </w:numPr>
        <w:ind w:left="420" w:leftChars="0" w:hanging="420" w:firstLineChars="0"/>
        <w:rPr>
          <w:rFonts w:ascii="楷体" w:hAnsi="楷体" w:eastAsia="楷体"/>
          <w:b/>
          <w:bCs/>
          <w:color w:val="auto"/>
          <w:sz w:val="21"/>
          <w:szCs w:val="21"/>
          <w:u w:val="single"/>
        </w:rPr>
      </w:pPr>
      <w:r>
        <w:rPr>
          <w:rFonts w:hint="eastAsia" w:ascii="楷体" w:hAnsi="楷体" w:eastAsia="楷体" w:cs="Times New Roman"/>
          <w:b/>
          <w:bCs/>
          <w:color w:val="auto"/>
          <w:spacing w:val="0"/>
          <w:szCs w:val="21"/>
          <w:highlight w:val="none"/>
          <w:u w:val="single"/>
        </w:rPr>
        <w:t>本产品</w:t>
      </w:r>
      <w:r>
        <w:rPr>
          <w:rFonts w:hint="eastAsia" w:ascii="楷体" w:hAnsi="楷体" w:eastAsia="楷体" w:cs="Times New Roman"/>
          <w:b/>
          <w:bCs/>
          <w:color w:val="auto"/>
          <w:spacing w:val="0"/>
          <w:szCs w:val="21"/>
          <w:highlight w:val="none"/>
          <w:u w:val="single"/>
          <w:lang w:val="en-US" w:eastAsia="zh-CN"/>
        </w:rPr>
        <w:t>可</w:t>
      </w:r>
      <w:r>
        <w:rPr>
          <w:rFonts w:hint="eastAsia" w:ascii="楷体" w:hAnsi="楷体" w:eastAsia="楷体" w:cs="Times New Roman"/>
          <w:b/>
          <w:bCs/>
          <w:color w:val="auto"/>
          <w:spacing w:val="0"/>
          <w:szCs w:val="21"/>
          <w:highlight w:val="none"/>
          <w:u w:val="single"/>
        </w:rPr>
        <w:t>设置多个份额，</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 w:val="21"/>
          <w:szCs w:val="21"/>
          <w:u w:val="single"/>
          <w:lang w:val="en-US" w:eastAsia="zh-CN"/>
        </w:rPr>
        <w:t>可能</w:t>
      </w:r>
      <w:r>
        <w:rPr>
          <w:rFonts w:hint="eastAsia" w:ascii="楷体" w:hAnsi="楷体" w:eastAsia="楷体" w:cs="Times New Roman"/>
          <w:b/>
          <w:bCs/>
          <w:color w:val="auto"/>
          <w:spacing w:val="0"/>
          <w:szCs w:val="21"/>
          <w:highlight w:val="none"/>
          <w:u w:val="single"/>
        </w:rPr>
        <w:t>设置</w:t>
      </w:r>
      <w:r>
        <w:rPr>
          <w:rFonts w:hint="eastAsia" w:ascii="楷体" w:hAnsi="楷体" w:eastAsia="楷体" w:cs="Times New Roman"/>
          <w:b/>
          <w:bCs/>
          <w:color w:val="auto"/>
          <w:spacing w:val="0"/>
          <w:sz w:val="21"/>
          <w:szCs w:val="21"/>
          <w:u w:val="single"/>
          <w:lang w:val="en-US" w:eastAsia="zh-CN"/>
        </w:rPr>
        <w:t>不同的</w:t>
      </w:r>
      <w:r>
        <w:rPr>
          <w:rFonts w:hint="eastAsia" w:ascii="楷体" w:hAnsi="楷体" w:eastAsia="楷体" w:cs="Times New Roman"/>
          <w:b/>
          <w:bCs/>
          <w:color w:val="auto"/>
          <w:spacing w:val="0"/>
          <w:szCs w:val="21"/>
          <w:highlight w:val="none"/>
          <w:u w:val="single"/>
        </w:rPr>
        <w:t>销售对象</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Cs w:val="21"/>
          <w:highlight w:val="none"/>
          <w:u w:val="single"/>
        </w:rPr>
        <w:t>销售起点</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 w:val="21"/>
          <w:szCs w:val="21"/>
          <w:u w:val="single"/>
          <w:lang w:val="en-US" w:eastAsia="zh-CN"/>
        </w:rPr>
        <w:t>业绩比较基准等</w:t>
      </w:r>
      <w:r>
        <w:rPr>
          <w:rFonts w:hint="eastAsia" w:ascii="楷体" w:hAnsi="楷体" w:eastAsia="楷体" w:cs="Times New Roman"/>
          <w:b/>
          <w:bCs/>
          <w:color w:val="auto"/>
          <w:spacing w:val="0"/>
          <w:szCs w:val="21"/>
          <w:highlight w:val="none"/>
          <w:u w:val="single"/>
        </w:rPr>
        <w:t>，</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Cs w:val="21"/>
          <w:highlight w:val="none"/>
          <w:u w:val="single"/>
        </w:rPr>
        <w:t>实际收取的销售服务费率、投资管理费率</w:t>
      </w:r>
      <w:r>
        <w:rPr>
          <w:rFonts w:hint="eastAsia" w:ascii="楷体" w:hAnsi="楷体" w:eastAsia="楷体" w:cs="Times New Roman"/>
          <w:b/>
          <w:bCs/>
          <w:color w:val="auto"/>
          <w:spacing w:val="0"/>
          <w:szCs w:val="21"/>
          <w:highlight w:val="none"/>
          <w:u w:val="single"/>
          <w:lang w:eastAsia="zh-CN"/>
        </w:rPr>
        <w:t>、</w:t>
      </w:r>
      <w:r>
        <w:rPr>
          <w:rFonts w:hint="eastAsia" w:ascii="楷体" w:hAnsi="楷体" w:eastAsia="楷体" w:cs="Times New Roman"/>
          <w:b/>
          <w:bCs/>
          <w:color w:val="auto"/>
          <w:spacing w:val="0"/>
          <w:szCs w:val="21"/>
          <w:highlight w:val="none"/>
          <w:u w:val="single"/>
          <w:lang w:val="en-US" w:eastAsia="zh-CN"/>
        </w:rPr>
        <w:t>超额业绩报酬</w:t>
      </w:r>
      <w:r>
        <w:rPr>
          <w:rFonts w:hint="eastAsia" w:ascii="楷体" w:hAnsi="楷体" w:eastAsia="楷体" w:cs="Times New Roman"/>
          <w:b/>
          <w:bCs/>
          <w:color w:val="auto"/>
          <w:spacing w:val="0"/>
          <w:sz w:val="21"/>
          <w:szCs w:val="21"/>
          <w:u w:val="single"/>
          <w:lang w:val="en-US" w:eastAsia="zh-CN"/>
        </w:rPr>
        <w:t>等可能</w:t>
      </w:r>
      <w:r>
        <w:rPr>
          <w:rFonts w:hint="eastAsia" w:ascii="楷体" w:hAnsi="楷体" w:eastAsia="楷体" w:cs="Times New Roman"/>
          <w:b/>
          <w:bCs/>
          <w:color w:val="auto"/>
          <w:spacing w:val="0"/>
          <w:szCs w:val="21"/>
          <w:highlight w:val="none"/>
          <w:u w:val="single"/>
        </w:rPr>
        <w:t>存在差异，</w:t>
      </w:r>
      <w:r>
        <w:rPr>
          <w:rFonts w:hint="eastAsia" w:ascii="楷体" w:hAnsi="楷体" w:eastAsia="楷体"/>
          <w:b/>
          <w:bCs/>
          <w:color w:val="auto"/>
          <w:szCs w:val="21"/>
          <w:u w:val="single"/>
        </w:rPr>
        <w:t>投资者应</w:t>
      </w:r>
      <w:r>
        <w:rPr>
          <w:rFonts w:hint="eastAsia" w:ascii="楷体" w:hAnsi="楷体" w:eastAsia="楷体"/>
          <w:b/>
          <w:bCs/>
          <w:color w:val="auto"/>
          <w:szCs w:val="21"/>
          <w:u w:val="single"/>
          <w:lang w:val="en-US" w:eastAsia="zh-CN"/>
        </w:rPr>
        <w:t>根据实际情况</w:t>
      </w:r>
      <w:r>
        <w:rPr>
          <w:rFonts w:hint="eastAsia" w:ascii="楷体" w:hAnsi="楷体" w:eastAsia="楷体"/>
          <w:b/>
          <w:bCs/>
          <w:color w:val="auto"/>
          <w:szCs w:val="21"/>
          <w:u w:val="single"/>
        </w:rPr>
        <w:t>自主选择购买</w:t>
      </w:r>
      <w:r>
        <w:rPr>
          <w:rFonts w:hint="eastAsia" w:ascii="楷体" w:hAnsi="楷体" w:eastAsia="楷体" w:cs="Times New Roman"/>
          <w:b/>
          <w:bCs/>
          <w:color w:val="auto"/>
          <w:spacing w:val="0"/>
          <w:szCs w:val="21"/>
          <w:highlight w:val="none"/>
          <w:u w:val="single"/>
        </w:rPr>
        <w:t>。</w:t>
      </w:r>
    </w:p>
    <w:p>
      <w:pPr>
        <w:numPr>
          <w:ilvl w:val="0"/>
          <w:numId w:val="1"/>
        </w:numPr>
        <w:ind w:left="420" w:leftChars="0" w:hanging="420" w:firstLineChars="0"/>
        <w:rPr>
          <w:rFonts w:hint="eastAsia" w:ascii="楷体" w:hAnsi="楷体" w:eastAsia="楷体"/>
          <w:color w:val="auto"/>
          <w:sz w:val="21"/>
          <w:szCs w:val="21"/>
        </w:rPr>
      </w:pPr>
      <w:r>
        <w:rPr>
          <w:rFonts w:hint="eastAsia" w:ascii="楷体" w:hAnsi="楷体" w:eastAsia="楷体"/>
          <w:b/>
          <w:color w:val="auto"/>
          <w:sz w:val="21"/>
          <w:szCs w:val="21"/>
          <w:u w:val="single"/>
        </w:rPr>
        <w:t>投资者不得使用贷款、发行债券等筹集的非自有资金投资本理财产品。</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在本产品存续期内，如因监管政策或法律法规发生变化，在不损害投资者利益的前提下，苏银理财有权单方对本产品条款进行修订，</w:t>
      </w:r>
      <w:r>
        <w:rPr>
          <w:rFonts w:hint="eastAsia" w:ascii="楷体" w:hAnsi="楷体" w:eastAsia="楷体"/>
          <w:color w:val="auto"/>
          <w:sz w:val="21"/>
          <w:szCs w:val="21"/>
          <w:highlight w:val="none"/>
        </w:rPr>
        <w:t>并按本理财产品说</w:t>
      </w:r>
      <w:r>
        <w:rPr>
          <w:rFonts w:hint="eastAsia" w:ascii="楷体" w:hAnsi="楷体" w:eastAsia="楷体"/>
          <w:color w:val="auto"/>
          <w:sz w:val="21"/>
          <w:szCs w:val="21"/>
        </w:rPr>
        <w:t>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8"/>
        <w:gridCol w:w="7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苏银理财恒源封闭债权218期优选2年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w:t>
            </w:r>
          </w:p>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登记编码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Z7003125000189，</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销售简称/</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销售代码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A份额：苏银理财恒源封闭债权218期优选2年A/J06121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B份额：苏银理财恒源封闭债权218期优选2年B/J06122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C份额：苏银理财恒源封闭债权218期优选2年C/J06123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D份额：苏银理财恒源封闭债权218期优选2年D/J06124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E份额：苏银理财恒源封闭债权218期优选2年E/J06125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F份额：苏银理财恒源封闭债权218期优选2年F/J06126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G份额：苏银理财恒源封闭债权218期优选2年G/J06127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H份额：苏银理财恒源封闭债权218期优选2年H/J06128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I份额：苏银理财恒源封闭债权218期优选2年I/J06129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J份额：苏银理财恒源封闭债权218期优选2年J/J06130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K份额：苏银理财恒源封闭债权218期优选2年K/J06131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Z份额：苏银理财恒源封闭债权218期优选2年Z/J06132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JS份额：苏银理财恒源封闭债权218期优选2年JS鑫福款/J06133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·优选份额：苏银理财恒源封闭债权218期优选2年（芙蓉锦程 ·优选）/J06134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风险评级</w:t>
            </w:r>
          </w:p>
        </w:tc>
        <w:tc>
          <w:tcPr>
            <w:tcW w:w="7986"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498"/>
              <w:gridCol w:w="2042"/>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募集币种</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86"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highlight w:val="none"/>
                <w:lang w:val="en-US" w:eastAsia="zh-CN"/>
              </w:rPr>
              <w:t>本产品最低发行规模为</w:t>
            </w:r>
            <w:r>
              <w:rPr>
                <w:rFonts w:hint="eastAsia" w:ascii="楷体" w:hAnsi="楷体" w:eastAsia="楷体" w:cs="宋体"/>
                <w:color w:val="auto"/>
                <w:spacing w:val="-2"/>
                <w:sz w:val="18"/>
                <w:szCs w:val="18"/>
                <w:lang w:val="en-US" w:eastAsia="zh-CN"/>
              </w:rPr>
              <w:t>3000万元，</w:t>
            </w:r>
            <w:r>
              <w:rPr>
                <w:rFonts w:hint="eastAsia" w:ascii="楷体" w:hAnsi="楷体" w:eastAsia="楷体" w:cs="宋体"/>
                <w:color w:val="auto"/>
                <w:spacing w:val="-2"/>
                <w:sz w:val="18"/>
                <w:szCs w:val="18"/>
                <w:highlight w:val="none"/>
              </w:rPr>
              <w:t>管理人有权</w:t>
            </w:r>
            <w:r>
              <w:rPr>
                <w:rFonts w:hint="eastAsia" w:ascii="楷体" w:hAnsi="楷体" w:eastAsia="楷体" w:cs="宋体"/>
                <w:color w:val="auto"/>
                <w:spacing w:val="-2"/>
                <w:sz w:val="18"/>
                <w:szCs w:val="18"/>
                <w:highlight w:val="none"/>
                <w:lang w:val="en-US" w:eastAsia="zh-CN"/>
              </w:rPr>
              <w:t>根据实际需要</w:t>
            </w:r>
            <w:r>
              <w:rPr>
                <w:rFonts w:hint="eastAsia" w:ascii="楷体" w:hAnsi="楷体" w:eastAsia="楷体" w:cs="宋体"/>
                <w:color w:val="auto"/>
                <w:spacing w:val="-2"/>
                <w:sz w:val="18"/>
                <w:szCs w:val="18"/>
                <w:highlight w:val="none"/>
              </w:rPr>
              <w:t>调整</w:t>
            </w:r>
            <w:r>
              <w:rPr>
                <w:rFonts w:hint="eastAsia" w:ascii="楷体" w:hAnsi="楷体" w:eastAsia="楷体" w:cs="宋体"/>
                <w:color w:val="auto"/>
                <w:spacing w:val="-2"/>
                <w:sz w:val="18"/>
                <w:szCs w:val="18"/>
                <w:highlight w:val="none"/>
                <w:lang w:val="en-US" w:eastAsia="zh-CN"/>
              </w:rPr>
              <w:t>最低</w:t>
            </w:r>
            <w:r>
              <w:rPr>
                <w:rFonts w:hint="eastAsia" w:ascii="楷体" w:hAnsi="楷体" w:eastAsia="楷体" w:cs="宋体"/>
                <w:color w:val="auto"/>
                <w:spacing w:val="-2"/>
                <w:sz w:val="18"/>
                <w:szCs w:val="18"/>
                <w:highlight w:val="none"/>
              </w:rPr>
              <w:t>发行规模。</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rPr>
              <w:t>若产品认购</w:t>
            </w:r>
            <w:r>
              <w:rPr>
                <w:rFonts w:hint="eastAsia" w:ascii="楷体" w:hAnsi="楷体" w:eastAsia="楷体" w:cs="宋体"/>
                <w:color w:val="auto"/>
                <w:spacing w:val="-2"/>
                <w:sz w:val="18"/>
                <w:szCs w:val="18"/>
                <w:lang w:val="en-US" w:eastAsia="zh-CN"/>
              </w:rPr>
              <w:t>规模</w:t>
            </w:r>
            <w:r>
              <w:rPr>
                <w:rFonts w:hint="eastAsia" w:ascii="楷体" w:hAnsi="楷体" w:eastAsia="楷体" w:cs="宋体"/>
                <w:color w:val="auto"/>
                <w:spacing w:val="-2"/>
                <w:sz w:val="18"/>
                <w:szCs w:val="18"/>
              </w:rPr>
              <w:t>未达到最低发行规模，或新的法律、法规导致本产品无法合法合规运行，或出现其他导致影响产品成立不可抗力因素，产品管理人有权利但无义务宣布产品不成立，并于产品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追加金额</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A/B/D/F/G/J/K/Z/JS/芙蓉锦程 ·优选份额购买起点金额为1元，追加金额为1元的整数倍；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E份额购买起点金额为300,000元，追加金额为10,000元的整数倍；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H份额购买起点金额为10,000元，追加金额为10,000元的整数倍；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lang w:val="en-US" w:eastAsia="zh-CN"/>
              </w:rPr>
            </w:pPr>
            <w:r>
              <w:rPr>
                <w:rFonts w:hint="eastAsia" w:ascii="楷体" w:hAnsi="楷体" w:eastAsia="楷体"/>
                <w:color w:val="auto"/>
                <w:sz w:val="18"/>
                <w:szCs w:val="18"/>
                <w:lang w:val="en-US" w:eastAsia="zh-CN"/>
              </w:rPr>
              <w:t>I份额购买起点金额为10,000元，追加金额为10,000元的整数倍；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各份额具体认购起点和追加金额以销售机构设置为准。</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b/>
                <w:bCs/>
                <w:color w:val="auto"/>
                <w:spacing w:val="-2"/>
                <w:sz w:val="18"/>
                <w:szCs w:val="18"/>
                <w:lang w:val="en-US" w:eastAsia="zh-CN"/>
              </w:rPr>
              <w:t>销售机构实际受理情况可能与产品说明书不一致，具体以销售机构设置为准。</w:t>
            </w:r>
            <w:r>
              <w:rPr>
                <w:rFonts w:hint="eastAsia" w:ascii="楷体" w:hAnsi="楷体" w:eastAsia="楷体"/>
                <w:color w:val="auto"/>
                <w:sz w:val="18"/>
                <w:szCs w:val="18"/>
              </w:rPr>
              <w:t>认购方式及确认和认购份额的计算详见下文“</w:t>
            </w:r>
            <w:r>
              <w:rPr>
                <w:rFonts w:hint="eastAsia" w:ascii="楷体" w:hAnsi="楷体" w:eastAsia="楷体"/>
                <w:color w:val="auto"/>
                <w:sz w:val="18"/>
                <w:szCs w:val="18"/>
                <w:lang w:val="en-US" w:eastAsia="zh-CN"/>
              </w:rPr>
              <w:t>七</w:t>
            </w:r>
            <w:r>
              <w:rPr>
                <w:rFonts w:hint="eastAsia" w:ascii="楷体" w:hAnsi="楷体" w:eastAsia="楷体"/>
                <w:color w:val="auto"/>
                <w:sz w:val="18"/>
                <w:szCs w:val="18"/>
              </w:rPr>
              <w:t>、产品认购”。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31</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6</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lang w:val="en-US" w:eastAsia="zh-CN"/>
              </w:rPr>
              <w:t>募集期内</w:t>
            </w:r>
            <w:r>
              <w:rPr>
                <w:rFonts w:hint="eastAsia" w:ascii="楷体" w:hAnsi="楷体" w:eastAsia="楷体" w:cs="宋体"/>
                <w:color w:val="auto"/>
                <w:spacing w:val="-2"/>
                <w:sz w:val="18"/>
                <w:szCs w:val="18"/>
              </w:rPr>
              <w:t>，投资者可于</w:t>
            </w:r>
            <w:r>
              <w:rPr>
                <w:rFonts w:hint="eastAsia" w:ascii="楷体" w:hAnsi="楷体" w:eastAsia="楷体" w:cs="宋体"/>
                <w:color w:val="auto"/>
                <w:spacing w:val="-2"/>
                <w:sz w:val="18"/>
                <w:szCs w:val="18"/>
                <w:lang w:val="en-US" w:eastAsia="zh-CN"/>
              </w:rPr>
              <w:t>募集期结束日交易闭市</w:t>
            </w:r>
            <w:r>
              <w:rPr>
                <w:rFonts w:hint="eastAsia" w:ascii="楷体" w:hAnsi="楷体" w:eastAsia="楷体" w:cs="宋体"/>
                <w:color w:val="auto"/>
                <w:spacing w:val="-2"/>
                <w:sz w:val="18"/>
                <w:szCs w:val="18"/>
              </w:rPr>
              <w:t>前撤销认购申请，该时点后不得撤销</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交易闭市具体以销售机构设置为准。</w:t>
            </w:r>
            <w:r>
              <w:rPr>
                <w:rFonts w:hint="eastAsia" w:ascii="楷体" w:hAnsi="楷体" w:eastAsia="楷体" w:cs="宋体"/>
                <w:color w:val="auto"/>
                <w:spacing w:val="-2"/>
                <w:sz w:val="18"/>
                <w:szCs w:val="18"/>
              </w:rPr>
              <w:t>管理人在法律允许的范围内保留延长</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或</w:t>
            </w:r>
            <w:r>
              <w:rPr>
                <w:rFonts w:hint="eastAsia" w:ascii="楷体" w:hAnsi="楷体" w:eastAsia="楷体" w:cs="宋体"/>
                <w:color w:val="auto"/>
                <w:spacing w:val="-2"/>
                <w:sz w:val="18"/>
                <w:szCs w:val="18"/>
                <w:lang w:val="en-US" w:eastAsia="zh-CN"/>
              </w:rPr>
              <w:t>缩短募集期的</w:t>
            </w:r>
            <w:r>
              <w:rPr>
                <w:rFonts w:hint="eastAsia" w:ascii="楷体" w:hAnsi="楷体" w:eastAsia="楷体" w:cs="宋体"/>
                <w:color w:val="auto"/>
                <w:spacing w:val="-2"/>
                <w:sz w:val="18"/>
                <w:szCs w:val="18"/>
              </w:rPr>
              <w:t>权利。如有变动，实际产品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2025年8月7日，如管理人调整募集期，则产品成立日/份额登记日将相应调整，以管理人公告为准。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25</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86"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w:t>
            </w:r>
            <w:r>
              <w:rPr>
                <w:rFonts w:hint="eastAsia" w:ascii="楷体" w:hAnsi="楷体" w:eastAsia="楷体" w:cs="宋体"/>
                <w:b/>
                <w:bCs/>
                <w:spacing w:val="-2"/>
                <w:sz w:val="18"/>
                <w:szCs w:val="18"/>
                <w:u w:val="single"/>
              </w:rPr>
              <w:t>苏银理财</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，综合考虑各份额收取的销售服务费和投资管理费的情况，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bCs/>
                <w:spacing w:val="-2"/>
                <w:sz w:val="18"/>
                <w:szCs w:val="18"/>
                <w:u w:val="single"/>
              </w:rPr>
              <w:t>本产品各份额因收取的销售服务费和投资管理费存在差异，业绩比较基准设置将有所不同。</w:t>
            </w:r>
            <w:r>
              <w:rPr>
                <w:rFonts w:hint="eastAsia" w:ascii="楷体" w:hAnsi="楷体" w:eastAsia="楷体" w:cs="宋体"/>
                <w:spacing w:val="-2"/>
                <w:sz w:val="18"/>
                <w:szCs w:val="18"/>
              </w:rPr>
              <w:t>各份额业绩比较基准如下：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2.80%-3.10%；B份额：2.80%-3.10%；C份额：2.85%-3.15%；D份额：2.80%-3.10%；E份额：2.90%-3.20%；F份额：2.85%-3.15%；G份额：2.70%-3.00%；H份额：2.75%-3.05%；I份额：3.04%-3.34%；J份额：2.80%-3.10%；K份额：2.75%-3.05%；Z份额：2.95%-3.25%；JS份额：2.80%-3.10%；芙蓉锦程 ·优选份额：2.90%-3.20%。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3.投资管理费率：A份额：0.25%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I份额：0.01%</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numPr>
                <w:ilvl w:val="0"/>
                <w:numId w:val="0"/>
              </w:numPr>
              <w:wordWrap/>
              <w:topLinePunct w:val="0"/>
              <w:bidi w:val="0"/>
              <w:snapToGrid w:val="0"/>
              <w:spacing w:line="240" w:lineRule="auto"/>
              <w:ind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keepNext w:val="0"/>
              <w:keepLines w:val="0"/>
              <w:pageBreakBefore w:val="0"/>
              <w:wordWrap/>
              <w:topLinePunct w:val="0"/>
              <w:bidi w:val="0"/>
              <w:snapToGrid w:val="0"/>
              <w:spacing w:line="240" w:lineRule="auto"/>
              <w:ind w:left="57" w:right="57" w:rightChars="0"/>
              <w:textAlignment w:val="auto"/>
            </w:pPr>
            <w:r>
              <w:rPr>
                <w:rFonts w:hint="eastAsia" w:ascii="楷体" w:hAnsi="楷体" w:eastAsia="楷体" w:cs="宋体"/>
                <w:b/>
                <w:spacing w:val="-2"/>
                <w:sz w:val="18"/>
                <w:szCs w:val="18"/>
                <w:u w:val="single"/>
              </w:rPr>
              <w:t>本产品设置有多个份额，</w:t>
            </w:r>
            <w:r>
              <w:rPr>
                <w:rFonts w:hint="eastAsia" w:ascii="楷体" w:hAnsi="楷体" w:eastAsia="楷体" w:cs="宋体"/>
                <w:b/>
                <w:spacing w:val="-2"/>
                <w:sz w:val="18"/>
                <w:szCs w:val="18"/>
                <w:u w:val="single"/>
                <w:lang w:eastAsia="zh-CN"/>
              </w:rPr>
              <w:t>各份额</w:t>
            </w:r>
            <w:r>
              <w:rPr>
                <w:rFonts w:hint="eastAsia" w:ascii="楷体" w:hAnsi="楷体" w:eastAsia="楷体" w:cs="宋体"/>
                <w:b/>
                <w:spacing w:val="-2"/>
                <w:sz w:val="18"/>
                <w:szCs w:val="18"/>
                <w:u w:val="single"/>
              </w:rPr>
              <w:t>实际收取的销售服务费率</w:t>
            </w:r>
            <w:r>
              <w:rPr>
                <w:rFonts w:hint="eastAsia" w:ascii="楷体" w:hAnsi="楷体" w:eastAsia="楷体" w:cs="宋体"/>
                <w:b/>
                <w:spacing w:val="-2"/>
                <w:sz w:val="18"/>
                <w:szCs w:val="18"/>
                <w:u w:val="single"/>
                <w:lang w:eastAsia="zh-CN"/>
              </w:rPr>
              <w:t>、</w:t>
            </w:r>
            <w:r>
              <w:rPr>
                <w:rFonts w:hint="eastAsia" w:ascii="楷体" w:hAnsi="楷体" w:eastAsia="楷体" w:cs="宋体"/>
                <w:b/>
                <w:spacing w:val="-2"/>
                <w:sz w:val="18"/>
                <w:szCs w:val="18"/>
                <w:u w:val="single"/>
              </w:rPr>
              <w:t>投资管理费率</w:t>
            </w:r>
            <w:r>
              <w:rPr>
                <w:rFonts w:hint="eastAsia" w:ascii="楷体" w:hAnsi="楷体" w:eastAsia="楷体" w:cs="宋体"/>
                <w:b/>
                <w:spacing w:val="-2"/>
                <w:sz w:val="18"/>
                <w:szCs w:val="18"/>
                <w:u w:val="single"/>
                <w:lang w:val="en-US" w:eastAsia="zh-CN"/>
              </w:rPr>
              <w:t>和超额业绩报酬（如有）</w:t>
            </w:r>
            <w:r>
              <w:rPr>
                <w:rFonts w:hint="eastAsia" w:ascii="楷体" w:hAnsi="楷体" w:eastAsia="楷体" w:cs="宋体"/>
                <w:b/>
                <w:spacing w:val="-2"/>
                <w:sz w:val="18"/>
                <w:szCs w:val="18"/>
                <w:u w:val="single"/>
              </w:rPr>
              <w:t>可能存在差异，</w:t>
            </w:r>
            <w:r>
              <w:rPr>
                <w:rFonts w:hint="eastAsia" w:ascii="楷体" w:hAnsi="楷体" w:eastAsia="楷体" w:cs="宋体"/>
                <w:b/>
                <w:spacing w:val="-2"/>
                <w:sz w:val="18"/>
                <w:szCs w:val="18"/>
                <w:u w:val="single"/>
                <w:lang w:val="en-US" w:eastAsia="zh-CN"/>
              </w:rPr>
              <w:t>投资者应</w:t>
            </w:r>
            <w:r>
              <w:rPr>
                <w:rFonts w:hint="eastAsia" w:ascii="楷体" w:hAnsi="楷体" w:eastAsia="楷体" w:cs="宋体"/>
                <w:b/>
                <w:spacing w:val="-2"/>
                <w:sz w:val="18"/>
                <w:szCs w:val="18"/>
                <w:u w:val="single"/>
              </w:rPr>
              <w:t>根据</w:t>
            </w:r>
            <w:r>
              <w:rPr>
                <w:rFonts w:hint="eastAsia" w:ascii="楷体" w:hAnsi="楷体" w:eastAsia="楷体" w:cs="宋体"/>
                <w:b/>
                <w:spacing w:val="-2"/>
                <w:sz w:val="18"/>
                <w:szCs w:val="18"/>
                <w:u w:val="single"/>
                <w:lang w:val="en-US" w:eastAsia="zh-CN"/>
              </w:rPr>
              <w:t>各份额收费情况</w:t>
            </w:r>
            <w:r>
              <w:rPr>
                <w:rFonts w:hint="eastAsia" w:ascii="楷体" w:hAnsi="楷体" w:eastAsia="楷体" w:cs="宋体"/>
                <w:b/>
                <w:spacing w:val="-2"/>
                <w:sz w:val="18"/>
                <w:szCs w:val="18"/>
                <w:u w:val="single"/>
              </w:rPr>
              <w:t>自主选择购买。</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b/>
                <w:bCs w:val="0"/>
                <w:spacing w:val="-2"/>
                <w:sz w:val="18"/>
                <w:szCs w:val="18"/>
                <w:u w:val="single"/>
              </w:rPr>
            </w:pPr>
            <w:r>
              <w:rPr>
                <w:rFonts w:hint="eastAsia" w:ascii="楷体" w:hAnsi="楷体" w:eastAsia="楷体" w:cs="宋体"/>
                <w:b/>
                <w:spacing w:val="-2"/>
                <w:sz w:val="18"/>
                <w:szCs w:val="18"/>
                <w:u w:val="single"/>
              </w:rPr>
              <w:t>若法律法规、国家监管政策或市场情况发生变化，管理人有权对已约定的收费项目、条件、标准和方式进行调整。</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86"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税收规定</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B份额：上海银行股份有限公司/徽商银行股份有限公司/重庆三峡银行股份有限公司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莱商银行股份有限公司/威海银行股份有限公司/潍坊银行股份有限公司/齐鲁银行股份有限公司/东营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K份额：浙江武义农村商业银行股份有限公司/浙江新昌农村商业银行股份有限公司/浙江海盐农村商业银行股份有限公司/山西银行股份有限公司/浙江平湖农村商业银行股份有限公司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bookmarkStart w:id="0" w:name="_GoBack"/>
      <w:bookmarkEnd w:id="0"/>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设置一个或多个</w:t>
      </w:r>
      <w:r>
        <w:rPr>
          <w:rFonts w:hint="eastAsia" w:ascii="楷体" w:hAnsi="楷体" w:eastAsia="楷体" w:cs="Calibri"/>
          <w:color w:val="auto"/>
          <w:sz w:val="21"/>
          <w:szCs w:val="21"/>
        </w:rPr>
        <w:t>产品份额，管理人在理财产品销售管理过程中为区分不同产品份额，</w:t>
      </w:r>
      <w:r>
        <w:rPr>
          <w:rFonts w:hint="eastAsia" w:ascii="楷体" w:hAnsi="楷体" w:eastAsia="楷体" w:cs="Calibri"/>
          <w:color w:val="auto"/>
          <w:sz w:val="21"/>
          <w:szCs w:val="21"/>
          <w:lang w:val="en-US" w:eastAsia="zh-CN"/>
        </w:rPr>
        <w:t>对各份额</w:t>
      </w:r>
      <w:r>
        <w:rPr>
          <w:rFonts w:hint="eastAsia" w:ascii="楷体" w:hAnsi="楷体" w:eastAsia="楷体" w:cs="Calibri"/>
          <w:color w:val="auto"/>
          <w:sz w:val="21"/>
          <w:szCs w:val="21"/>
        </w:rPr>
        <w:t>设置的内部识别码。</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理财产品份额：指投资者持有本理财产品的单位数额。投资者基于其所持有的理财产品单位数额享有理财产品利益、承担理财产品风险。</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numPr>
          <w:ilvl w:val="0"/>
          <w:numId w:val="4"/>
        </w:numPr>
        <w:tabs>
          <w:tab w:val="left" w:pos="851"/>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w:t>
      </w:r>
      <w:r>
        <w:rPr>
          <w:rFonts w:hint="eastAsia" w:ascii="楷体" w:hAnsi="楷体" w:eastAsia="楷体" w:cs="Calibri"/>
          <w:color w:val="auto"/>
          <w:sz w:val="21"/>
          <w:szCs w:val="21"/>
          <w:highlight w:val="none"/>
          <w:lang w:val="en-US" w:eastAsia="zh-CN"/>
        </w:rPr>
        <w:t>理财产品</w:t>
      </w:r>
      <w:r>
        <w:rPr>
          <w:rFonts w:hint="eastAsia" w:ascii="楷体" w:hAnsi="楷体" w:eastAsia="楷体" w:cs="Calibri"/>
          <w:color w:val="auto"/>
          <w:sz w:val="21"/>
          <w:szCs w:val="21"/>
          <w:highlight w:val="none"/>
        </w:rPr>
        <w:t>资产净值/产品总份额。投资者按该份额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净值进行理财产品申购、赎回和终止时分配。</w:t>
      </w:r>
    </w:p>
    <w:p>
      <w:pPr>
        <w:numPr>
          <w:ilvl w:val="0"/>
          <w:numId w:val="4"/>
        </w:numPr>
        <w:tabs>
          <w:tab w:val="left" w:pos="851"/>
        </w:tabs>
        <w:ind w:left="0" w:firstLine="420" w:firstLineChars="200"/>
        <w:rPr>
          <w:rFonts w:hint="eastAsia" w:ascii="楷体" w:hAnsi="楷体" w:eastAsia="楷体" w:cs="Calibri"/>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kern w:val="2"/>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1"/>
          <w:szCs w:val="21"/>
          <w:lang w:val="en-US" w:eastAsia="zh-CN"/>
        </w:rPr>
        <w:t>法律法规或监管机构另有规定的，从其规定。</w:t>
      </w:r>
    </w:p>
    <w:p>
      <w:pPr>
        <w:numPr>
          <w:ilvl w:val="0"/>
          <w:numId w:val="4"/>
        </w:numPr>
        <w:tabs>
          <w:tab w:val="left" w:pos="851"/>
        </w:tabs>
        <w:ind w:left="0" w:firstLine="420" w:firstLineChars="200"/>
        <w:rPr>
          <w:rFonts w:hint="eastAsia" w:ascii="楷体" w:hAnsi="楷体" w:eastAsia="楷体" w:cs="Calibri"/>
          <w:color w:val="auto"/>
          <w:sz w:val="21"/>
          <w:szCs w:val="21"/>
        </w:rPr>
      </w:pPr>
      <w:r>
        <w:rPr>
          <w:rFonts w:hint="eastAsia" w:ascii="楷体" w:hAnsi="楷体" w:eastAsia="楷体" w:cs="Calibri"/>
          <w:kern w:val="2"/>
          <w:sz w:val="21"/>
          <w:szCs w:val="21"/>
        </w:rPr>
        <w:t>7个工作日可变现资产</w:t>
      </w:r>
      <w:r>
        <w:rPr>
          <w:rFonts w:hint="eastAsia" w:ascii="楷体" w:hAnsi="楷体" w:eastAsia="楷体" w:cs="Calibri"/>
          <w:kern w:val="2"/>
          <w:sz w:val="21"/>
          <w:szCs w:val="21"/>
          <w:lang w:eastAsia="zh-CN"/>
        </w:rPr>
        <w:t>：</w:t>
      </w:r>
      <w:r>
        <w:rPr>
          <w:rFonts w:hint="eastAsia" w:ascii="楷体" w:hAnsi="楷体" w:eastAsia="楷体" w:cs="Calibri"/>
          <w:kern w:val="2"/>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份额登记日/份额确认日：指管理人对投资者提交的认购</w:t>
      </w:r>
      <w:r>
        <w:rPr>
          <w:rFonts w:hint="eastAsia" w:ascii="楷体" w:hAnsi="楷体" w:eastAsia="楷体" w:cs="Calibri"/>
          <w:color w:val="auto"/>
          <w:sz w:val="21"/>
          <w:szCs w:val="21"/>
          <w:lang w:val="en-US" w:eastAsia="zh-CN"/>
        </w:rPr>
        <w:t>/申购</w:t>
      </w:r>
      <w:r>
        <w:rPr>
          <w:rFonts w:hint="eastAsia" w:ascii="楷体" w:hAnsi="楷体" w:eastAsia="楷体" w:cs="Calibri"/>
          <w:color w:val="auto"/>
          <w:sz w:val="21"/>
          <w:szCs w:val="21"/>
        </w:rPr>
        <w:t>申请进行份额登记的日期。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终止日/到期日：指本产品终止的日期。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估值日：指产品管理人对理财产品项下资产进行估值的日期。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投资集中度限制</w:t>
      </w:r>
    </w:p>
    <w:p>
      <w:pPr>
        <w:numPr>
          <w:ilvl w:val="0"/>
          <w:numId w:val="7"/>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w:t>
      </w:r>
      <w:r>
        <w:rPr>
          <w:rFonts w:hint="eastAsia" w:ascii="楷体" w:hAnsi="楷体" w:eastAsia="楷体" w:cs="Calibri"/>
          <w:color w:val="auto"/>
          <w:sz w:val="21"/>
          <w:szCs w:val="21"/>
          <w:lang w:val="en-US" w:eastAsia="zh-CN"/>
        </w:rPr>
        <w:t>投资</w:t>
      </w:r>
      <w:r>
        <w:rPr>
          <w:rFonts w:hint="eastAsia" w:ascii="楷体" w:hAnsi="楷体" w:eastAsia="楷体" w:cs="Calibri"/>
          <w:color w:val="auto"/>
          <w:sz w:val="21"/>
          <w:szCs w:val="21"/>
        </w:rPr>
        <w:t>单只证券或者单只证券投资基金的市值不得超过</w:t>
      </w:r>
      <w:r>
        <w:rPr>
          <w:rFonts w:hint="eastAsia" w:ascii="楷体" w:hAnsi="楷体" w:eastAsia="楷体" w:cs="Calibri"/>
          <w:color w:val="auto"/>
          <w:sz w:val="21"/>
          <w:szCs w:val="21"/>
          <w:lang w:val="en-US" w:eastAsia="zh-CN"/>
        </w:rPr>
        <w:t>本</w:t>
      </w:r>
      <w:r>
        <w:rPr>
          <w:rFonts w:hint="eastAsia" w:ascii="楷体" w:hAnsi="楷体" w:eastAsia="楷体" w:cs="Calibri"/>
          <w:color w:val="auto"/>
          <w:sz w:val="21"/>
          <w:szCs w:val="21"/>
        </w:rPr>
        <w:t>产品净资产的</w:t>
      </w:r>
      <w:r>
        <w:rPr>
          <w:rFonts w:ascii="楷体" w:hAnsi="楷体" w:eastAsia="楷体" w:cs="Calibri"/>
          <w:color w:val="auto"/>
          <w:sz w:val="21"/>
          <w:szCs w:val="21"/>
        </w:rPr>
        <w:t>10%</w:t>
      </w:r>
      <w:r>
        <w:rPr>
          <w:rFonts w:hint="eastAsia" w:ascii="楷体" w:hAnsi="楷体" w:eastAsia="楷体" w:cs="Calibri"/>
          <w:color w:val="auto"/>
          <w:sz w:val="21"/>
          <w:szCs w:val="21"/>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管理人</w:t>
      </w:r>
      <w:r>
        <w:rPr>
          <w:rFonts w:hint="eastAsia" w:ascii="楷体" w:hAnsi="楷体" w:eastAsia="楷体" w:cs="Calibri"/>
          <w:color w:val="auto"/>
          <w:sz w:val="21"/>
          <w:szCs w:val="21"/>
          <w:highlight w:val="none"/>
          <w:lang w:val="en-US" w:eastAsia="zh-CN"/>
        </w:rPr>
        <w:t>发行的</w:t>
      </w:r>
      <w:r>
        <w:rPr>
          <w:rFonts w:hint="eastAsia" w:ascii="楷体" w:hAnsi="楷体" w:eastAsia="楷体" w:cs="Calibri"/>
          <w:color w:val="auto"/>
          <w:sz w:val="21"/>
          <w:szCs w:val="21"/>
          <w:highlight w:val="none"/>
        </w:rPr>
        <w:t>全部公募产品</w:t>
      </w:r>
      <w:r>
        <w:rPr>
          <w:rFonts w:hint="eastAsia" w:ascii="楷体" w:hAnsi="楷体" w:eastAsia="楷体" w:cs="Calibri"/>
          <w:color w:val="auto"/>
          <w:sz w:val="21"/>
          <w:szCs w:val="21"/>
          <w:highlight w:val="none"/>
          <w:lang w:val="en-US" w:eastAsia="zh-CN"/>
        </w:rPr>
        <w:t>投资</w:t>
      </w:r>
      <w:r>
        <w:rPr>
          <w:rFonts w:hint="eastAsia" w:ascii="楷体" w:hAnsi="楷体" w:eastAsia="楷体" w:cs="Calibri"/>
          <w:color w:val="auto"/>
          <w:sz w:val="21"/>
          <w:szCs w:val="21"/>
          <w:highlight w:val="none"/>
        </w:rPr>
        <w:t>单只证券或单只证券投资基金的市值，不得超过该证券市值或该证券投资基金市值的</w:t>
      </w:r>
      <w:r>
        <w:rPr>
          <w:rFonts w:ascii="楷体" w:hAnsi="楷体" w:eastAsia="楷体" w:cs="Calibri"/>
          <w:color w:val="auto"/>
          <w:sz w:val="21"/>
          <w:szCs w:val="21"/>
          <w:highlight w:val="none"/>
        </w:rPr>
        <w:t>30%</w:t>
      </w:r>
      <w:r>
        <w:rPr>
          <w:rFonts w:hint="eastAsia" w:ascii="楷体" w:hAnsi="楷体" w:eastAsia="楷体" w:cs="Calibri"/>
          <w:color w:val="auto"/>
          <w:sz w:val="21"/>
          <w:szCs w:val="21"/>
          <w:highlight w:val="none"/>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rPr>
        <w:t>管理人全部产品</w:t>
      </w:r>
      <w:r>
        <w:rPr>
          <w:rFonts w:hint="eastAsia" w:ascii="楷体" w:hAnsi="楷体" w:eastAsia="楷体" w:cs="Calibri"/>
          <w:sz w:val="21"/>
          <w:szCs w:val="21"/>
          <w:highlight w:val="none"/>
          <w:lang w:val="en-US" w:eastAsia="zh-CN"/>
        </w:rPr>
        <w:t>投资</w:t>
      </w:r>
      <w:r>
        <w:rPr>
          <w:rFonts w:hint="eastAsia" w:ascii="楷体" w:hAnsi="楷体" w:eastAsia="楷体" w:cs="Calibri"/>
          <w:sz w:val="21"/>
          <w:szCs w:val="21"/>
          <w:highlight w:val="none"/>
        </w:rPr>
        <w:t>单一上市公司发行的股票，不得超过该上市公司可流通股票的30%。</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金融监督管理部门另有规定的除外。非因管理人主观因素导致突破上述比例限制的，管理人在流动性受限资产可出售、可转让或者恢复交易的</w:t>
      </w:r>
      <w:r>
        <w:rPr>
          <w:rFonts w:ascii="楷体" w:hAnsi="楷体" w:eastAsia="楷体"/>
          <w:color w:val="auto"/>
          <w:sz w:val="21"/>
          <w:szCs w:val="21"/>
        </w:rPr>
        <w:t>1</w:t>
      </w:r>
      <w:r>
        <w:rPr>
          <w:rFonts w:hint="eastAsia" w:ascii="楷体" w:hAnsi="楷体" w:eastAsia="楷体"/>
          <w:color w:val="auto"/>
          <w:sz w:val="21"/>
          <w:szCs w:val="21"/>
        </w:rPr>
        <w:t>0个交易日内调整至符合要求。</w:t>
      </w:r>
    </w:p>
    <w:p>
      <w:pPr>
        <w:numPr>
          <w:ilvl w:val="0"/>
          <w:numId w:val="6"/>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杠杆水平限制</w:t>
      </w:r>
    </w:p>
    <w:p>
      <w:pPr>
        <w:ind w:firstLine="420" w:firstLineChars="200"/>
        <w:rPr>
          <w:rFonts w:hint="eastAsia" w:ascii="楷体" w:hAnsi="楷体" w:eastAsia="楷体"/>
          <w:color w:val="auto"/>
          <w:sz w:val="21"/>
          <w:szCs w:val="21"/>
        </w:rPr>
      </w:pPr>
      <w:r>
        <w:rPr>
          <w:rFonts w:hint="eastAsia" w:ascii="楷体" w:hAnsi="楷体" w:eastAsia="楷体"/>
          <w:sz w:val="21"/>
          <w:szCs w:val="21"/>
        </w:rPr>
        <w:t>本产品资产总值</w:t>
      </w:r>
      <w:r>
        <w:rPr>
          <w:rFonts w:hint="eastAsia" w:ascii="楷体" w:hAnsi="楷体" w:eastAsia="楷体"/>
          <w:color w:val="auto"/>
          <w:sz w:val="21"/>
          <w:szCs w:val="21"/>
        </w:rPr>
        <w:t>/</w:t>
      </w:r>
      <w:r>
        <w:rPr>
          <w:rFonts w:hint="eastAsia" w:ascii="楷体" w:hAnsi="楷体" w:eastAsia="楷体"/>
          <w:color w:val="auto"/>
          <w:sz w:val="21"/>
          <w:szCs w:val="21"/>
          <w:lang w:val="en-US" w:eastAsia="zh-CN"/>
        </w:rPr>
        <w:t>净资产</w:t>
      </w:r>
      <w:r>
        <w:rPr>
          <w:rFonts w:hint="eastAsia" w:ascii="楷体" w:hAnsi="楷体" w:eastAsia="楷体"/>
          <w:color w:val="auto"/>
          <w:sz w:val="21"/>
          <w:szCs w:val="21"/>
        </w:rPr>
        <w:t>不超过</w:t>
      </w:r>
      <w:r>
        <w:rPr>
          <w:rFonts w:ascii="楷体" w:hAnsi="楷体" w:eastAsia="楷体"/>
          <w:color w:val="auto"/>
          <w:sz w:val="21"/>
          <w:szCs w:val="21"/>
        </w:rPr>
        <w:t>15</w:t>
      </w:r>
      <w:r>
        <w:rPr>
          <w:rFonts w:hint="eastAsia" w:ascii="楷体" w:hAnsi="楷体" w:eastAsia="楷体"/>
          <w:color w:val="auto"/>
          <w:sz w:val="21"/>
          <w:szCs w:val="21"/>
        </w:rPr>
        <w:t>0%（如监管有最新规定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将</w:t>
      </w:r>
      <w:r>
        <w:rPr>
          <w:rFonts w:hint="eastAsia" w:ascii="楷体" w:hAnsi="楷体" w:eastAsia="楷体"/>
          <w:color w:val="auto"/>
          <w:sz w:val="21"/>
          <w:szCs w:val="21"/>
        </w:rPr>
        <w:t>参照监管规定调整）。</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投资范围调整</w:t>
      </w:r>
    </w:p>
    <w:p>
      <w:pPr>
        <w:numPr>
          <w:ilvl w:val="-1"/>
          <w:numId w:val="0"/>
        </w:numPr>
        <w:tabs>
          <w:tab w:val="left" w:pos="1134"/>
        </w:tabs>
        <w:ind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弘业期货股份有限公司是经中国证监会批准设立的大型期货公司，总部位于江苏南京，公司在北京、上海、深圳等国内主要金融中心和重点城市设立40多家营业部和分公司</w:t>
      </w:r>
      <w:r>
        <w:rPr>
          <w:rFonts w:hint="eastAsia" w:ascii="楷体" w:hAnsi="楷体" w:eastAsia="楷体"/>
          <w:sz w:val="21"/>
          <w:szCs w:val="21"/>
          <w:lang w:eastAsia="zh-CN"/>
        </w:rPr>
        <w:t>。</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以及认购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1"/>
          <w:numId w:val="0"/>
        </w:numPr>
        <w:ind w:left="0" w:firstLine="420" w:firstLineChars="200"/>
        <w:rPr>
          <w:rFonts w:hint="eastAsia" w:ascii="楷体" w:hAnsi="楷体" w:eastAsia="楷体"/>
          <w:color w:val="auto"/>
          <w:sz w:val="21"/>
          <w:szCs w:val="21"/>
        </w:rPr>
      </w:pPr>
      <w:r>
        <w:rPr>
          <w:rFonts w:hint="eastAsia" w:ascii="楷体" w:hAnsi="楷体" w:eastAsia="楷体" w:cs="Calibri"/>
          <w:color w:val="auto"/>
          <w:sz w:val="21"/>
          <w:szCs w:val="21"/>
        </w:rPr>
        <w:t>在理财产品投资运作期间内，投资者无权要求提前终止该理财产品。在理财产品投资运作期间内，当出现下列情形之一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color w:val="auto"/>
          <w:sz w:val="21"/>
          <w:szCs w:val="21"/>
        </w:rPr>
        <w:t>如理财产品管理人提前终止本理财产品，将至少提前2个工作日（含）按说明书约定的信息披露方式予以披露</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olor w:val="auto"/>
          <w:sz w:val="21"/>
          <w:szCs w:val="21"/>
        </w:rPr>
        <w:t>。</w:t>
      </w:r>
    </w:p>
    <w:p>
      <w:pPr>
        <w:numPr>
          <w:ilvl w:val="0"/>
          <w:numId w:val="9"/>
        </w:numPr>
        <w:tabs>
          <w:tab w:val="left" w:pos="993"/>
        </w:tabs>
        <w:ind w:left="0" w:firstLine="420" w:firstLineChars="20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s="Calibri"/>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后5个工作日以内划至投资者指定账户，如遇法定节假日或公休日则相应顺延。产品到期日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至资金实际到账日之间，投资者资金不计息。</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r>
        <w:rPr>
          <w:rFonts w:hint="eastAsia" w:ascii="楷体" w:hAnsi="楷体" w:eastAsia="楷体"/>
          <w:b/>
          <w:color w:val="auto"/>
          <w:sz w:val="21"/>
          <w:szCs w:val="21"/>
          <w:lang w:eastAsia="zh-CN"/>
        </w:rPr>
        <w:t>：</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计提方法、计提标准和支付方式</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w:t>
      </w:r>
      <w:r>
        <w:rPr>
          <w:rFonts w:hint="eastAsia" w:ascii="楷体" w:hAnsi="楷体" w:eastAsia="楷体" w:cs="Calibri"/>
          <w:color w:val="auto"/>
          <w:sz w:val="21"/>
          <w:szCs w:val="21"/>
          <w:lang w:val="en-US" w:eastAsia="zh-CN"/>
        </w:rPr>
        <w:t>托管人</w:t>
      </w:r>
      <w:r>
        <w:rPr>
          <w:rFonts w:hint="eastAsia" w:ascii="楷体" w:hAnsi="楷体" w:eastAsia="楷体" w:cs="Calibri"/>
          <w:color w:val="auto"/>
          <w:sz w:val="21"/>
          <w:szCs w:val="21"/>
        </w:rPr>
        <w:t>收取。</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ascii="楷体" w:hAnsi="楷体" w:eastAsia="楷体"/>
          <w:sz w:val="21"/>
          <w:szCs w:val="21"/>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，由销售机构收取。</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p>
    <w:p>
      <w:pPr>
        <w:ind w:firstLine="420" w:firstLineChars="200"/>
        <w:rPr>
          <w:rFonts w:hint="eastAsia" w:ascii="楷体" w:hAnsi="楷体" w:eastAsia="楷体"/>
          <w:szCs w:val="21"/>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成立日一次性提取，每日摊销，由销售机构收取。销售服务费＝产品成立日的产品份额×销售服务费率×产品投资期限天数÷365</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，由管理人收取。</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有关的任何争议，应当首先通过双方之间的友好协商解决；协商不成的，双方均有权提交产品管理人所在地有管辖权的人民法院诉讼解决。</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9850F8"/>
    <w:multiLevelType w:val="multilevel"/>
    <w:tmpl w:val="2A9850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FC5ACE5"/>
    <w:multiLevelType w:val="singleLevel"/>
    <w:tmpl w:val="3FC5ACE5"/>
    <w:lvl w:ilvl="0" w:tentative="0">
      <w:start w:val="1"/>
      <w:numFmt w:val="decimalEnclosedCircleChinese"/>
      <w:suff w:val="nothing"/>
      <w:lvlText w:val="%1　"/>
      <w:lvlJc w:val="left"/>
      <w:pPr>
        <w:ind w:left="0" w:firstLine="400"/>
      </w:pPr>
      <w:rPr>
        <w:rFonts w:hint="eastAsia"/>
      </w:rPr>
    </w:lvl>
  </w:abstractNum>
  <w:abstractNum w:abstractNumId="8">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0"/>
  </w:num>
  <w:num w:numId="3">
    <w:abstractNumId w:val="4"/>
  </w:num>
  <w:num w:numId="4">
    <w:abstractNumId w:val="12"/>
  </w:num>
  <w:num w:numId="5">
    <w:abstractNumId w:val="3"/>
  </w:num>
  <w:num w:numId="6">
    <w:abstractNumId w:val="14"/>
  </w:num>
  <w:num w:numId="7">
    <w:abstractNumId w:val="11"/>
  </w:num>
  <w:num w:numId="8">
    <w:abstractNumId w:val="8"/>
  </w:num>
  <w:num w:numId="9">
    <w:abstractNumId w:val="10"/>
  </w:num>
  <w:num w:numId="10">
    <w:abstractNumId w:val="15"/>
  </w:num>
  <w:num w:numId="11">
    <w:abstractNumId w:val="5"/>
  </w:num>
  <w:num w:numId="12">
    <w:abstractNumId w:val="2"/>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438EF"/>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02B2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1C5E75"/>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15CF3"/>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218BA"/>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7498C"/>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2D0BCE"/>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C09D9"/>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45A96"/>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66C84"/>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8E7FA0"/>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566F18"/>
    <w:rsid w:val="76615FD1"/>
    <w:rsid w:val="766963DF"/>
    <w:rsid w:val="76702E40"/>
    <w:rsid w:val="76816F25"/>
    <w:rsid w:val="76893007"/>
    <w:rsid w:val="768F1A73"/>
    <w:rsid w:val="768F39AF"/>
    <w:rsid w:val="76954AB3"/>
    <w:rsid w:val="76AA3816"/>
    <w:rsid w:val="76B66BC1"/>
    <w:rsid w:val="76E0462A"/>
    <w:rsid w:val="76EB008C"/>
    <w:rsid w:val="76EF1A7D"/>
    <w:rsid w:val="76F34F9E"/>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B2763"/>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2025-07-23T08:16:24Z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FE0C50D9B6F14793BB167459BCCDFBE6</vt:lpwstr>
  </property>
</Properties>
</file>