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个人投资者</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172.55pt;width:227.9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机构投资者</w:t>
      </w:r>
    </w:p>
    <w:p>
      <w:pPr>
        <w:autoSpaceDE w:val="0"/>
        <w:autoSpaceDN w:val="0"/>
        <w:adjustRightInd w:val="0"/>
        <w:ind w:firstLine="420"/>
        <w:jc w:val="center"/>
        <w:rPr>
          <w:rFonts w:hint="eastAsia" w:ascii="楷体" w:hAnsi="楷体" w:eastAsia="楷体" w:cs="浠垮畫"/>
          <w:kern w:val="0"/>
          <w:sz w:val="21"/>
          <w:szCs w:val="21"/>
        </w:rPr>
      </w:pPr>
      <w:r>
        <w:rPr>
          <w:sz w:val="21"/>
          <w:szCs w:val="21"/>
        </w:rPr>
        <w:object>
          <v:shape id="_x0000_i1026" o:spt="75" type="#_x0000_t75" style="height:182.75pt;width:207.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（三）个人投资者风险承受能力评估流程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7" o:spt="75" type="#_x0000_t75" style="height:110.5pt;width:230.2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应确保个人投资者的风险承受能力等级不低于本产品风险评级。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（六）机构投资者购买理财产品前无需进行风险评估能力测试。</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8" o:spt="75" type="#_x0000_t75" style="height:243.65pt;width:249.9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DF4FDA"/>
    <w:rsid w:val="465E26CD"/>
    <w:rsid w:val="46996AFD"/>
    <w:rsid w:val="47665A62"/>
    <w:rsid w:val="4A120FE1"/>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B500F61"/>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E6C03"/>
    <w:rsid w:val="77667C2A"/>
    <w:rsid w:val="786D6001"/>
    <w:rsid w:val="794569C4"/>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脚注文本 字符1"/>
    <w:link w:val="11"/>
    <w:semiHidden/>
    <w:qFormat/>
    <w:uiPriority w:val="99"/>
    <w:rPr>
      <w:kern w:val="2"/>
      <w:sz w:val="18"/>
      <w:szCs w:val="18"/>
    </w:rPr>
  </w:style>
  <w:style w:type="character" w:customStyle="1" w:styleId="22">
    <w:name w:val="正文文本 字符"/>
    <w:link w:val="6"/>
    <w:qFormat/>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qFormat/>
    <w:uiPriority w:val="99"/>
  </w:style>
  <w:style w:type="character" w:customStyle="1" w:styleId="29">
    <w:name w:val="批注文字 字符"/>
    <w:link w:val="5"/>
    <w:qFormat/>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1</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2025-07-29T00:35:07Z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65BDAB8FC24F4FA9A650620D013D9090</vt:lpwstr>
  </property>
</Properties>
</file>