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outlineLvl w:val="0"/>
        <w:rPr>
          <w:rFonts w:hint="eastAsia" w:ascii="宋体" w:hAnsi="宋体" w:cs="宋体"/>
          <w:b/>
          <w:bCs/>
          <w:sz w:val="44"/>
          <w:szCs w:val="44"/>
          <w:highlight w:val="none"/>
        </w:rPr>
      </w:pPr>
      <w:bookmarkStart w:id="0" w:name="_GoBack"/>
      <w:bookmarkEnd w:id="0"/>
      <w:r>
        <w:rPr>
          <w:rFonts w:hint="eastAsia" w:ascii="宋体" w:hAnsi="宋体" w:cs="宋体"/>
          <w:b/>
          <w:bCs/>
          <w:sz w:val="44"/>
          <w:szCs w:val="44"/>
          <w:highlight w:val="none"/>
          <w:lang w:eastAsia="zh-CN"/>
        </w:rPr>
        <w:t>幸福99丰裕固收386天25159期理财</w:t>
      </w:r>
      <w:r>
        <w:rPr>
          <w:rFonts w:hint="eastAsia" w:ascii="宋体" w:hAnsi="宋体" w:cs="宋体"/>
          <w:b/>
          <w:bCs/>
          <w:sz w:val="44"/>
          <w:szCs w:val="44"/>
          <w:highlight w:val="none"/>
        </w:rPr>
        <w:t>产品说明书</w:t>
      </w:r>
    </w:p>
    <w:p>
      <w:pPr>
        <w:jc w:val="center"/>
        <w:rPr>
          <w:rFonts w:hint="eastAsia" w:ascii="宋体" w:hAnsi="宋体" w:cs="宋体"/>
          <w:b/>
          <w:bCs/>
          <w:sz w:val="44"/>
          <w:szCs w:val="44"/>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202502</w:t>
      </w:r>
      <w:r>
        <w:rPr>
          <w:rFonts w:hint="eastAsia" w:ascii="宋体" w:hAnsi="宋体" w:cs="宋体"/>
          <w:sz w:val="28"/>
          <w:szCs w:val="28"/>
          <w:highlight w:val="none"/>
        </w:rPr>
        <w:t>版）</w:t>
      </w:r>
    </w:p>
    <w:p>
      <w:pPr>
        <w:spacing w:line="360" w:lineRule="auto"/>
        <w:jc w:val="right"/>
        <w:rPr>
          <w:rFonts w:hint="eastAsia" w:ascii="宋体" w:hAnsi="宋体" w:cs="宋体"/>
          <w:bCs/>
          <w:color w:val="auto"/>
          <w:sz w:val="24"/>
          <w:highlight w:val="none"/>
        </w:rPr>
      </w:pPr>
      <w:r>
        <w:rPr>
          <w:rFonts w:hint="eastAsia" w:ascii="宋体" w:hAnsi="宋体" w:cs="宋体"/>
          <w:color w:val="000000"/>
          <w:sz w:val="24"/>
          <w:highlight w:val="none"/>
        </w:rPr>
        <w:t>备案编号</w:t>
      </w:r>
      <w:r>
        <w:rPr>
          <w:rFonts w:hint="eastAsia" w:ascii="宋体" w:hAnsi="宋体" w:cs="宋体"/>
          <w:color w:val="auto"/>
          <w:sz w:val="24"/>
          <w:highlight w:val="none"/>
        </w:rPr>
        <w:t>:</w:t>
      </w:r>
      <w:r>
        <w:rPr>
          <w:rFonts w:hint="eastAsia" w:ascii="宋体" w:hAnsi="宋体" w:cs="宋体"/>
          <w:bCs/>
          <w:color w:val="auto"/>
          <w:sz w:val="24"/>
          <w:highlight w:val="none"/>
        </w:rPr>
        <w:t>〖</w:t>
      </w:r>
      <w:r>
        <w:rPr>
          <w:rFonts w:hint="eastAsia" w:ascii="宋体" w:hAnsi="宋体" w:cs="宋体"/>
          <w:color w:val="000000"/>
          <w:sz w:val="24"/>
          <w:highlight w:val="none"/>
          <w:lang w:val="en-US" w:eastAsia="zh-CN"/>
        </w:rPr>
        <w:t>Z7002225000297</w:t>
      </w:r>
      <w:r>
        <w:rPr>
          <w:rFonts w:hint="eastAsia" w:ascii="宋体" w:hAnsi="宋体" w:cs="宋体"/>
          <w:bCs/>
          <w:color w:val="auto"/>
          <w:sz w:val="24"/>
          <w:highlight w:val="none"/>
        </w:rPr>
        <w:t>〗</w:t>
      </w:r>
    </w:p>
    <w:p>
      <w:pPr>
        <w:spacing w:line="360" w:lineRule="auto"/>
        <w:jc w:val="center"/>
        <w:rPr>
          <w:rFonts w:hint="eastAsia" w:ascii="宋体" w:hAnsi="宋体" w:cs="宋体"/>
          <w:bCs/>
          <w:sz w:val="24"/>
          <w:highlight w:val="none"/>
        </w:rPr>
      </w:pP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重要须知</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本理财计划不等同于银行存款、预期收益型理财产品或其他产品。</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本理财计划仅向依据中华人民共和国有关法律法规及本理财计划产品说明书规定可以购买本理财计划的投资者发售。</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在购买本理财计划前，请投资者确保完全明白本理财计划的性质、其中涉及的风险以及投资者的自身情况。投资者若对本理财计划产品说明书的内容有任何疑问，请向销售机构咨询。</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本理财计划是非保本净值型产品。管理人对本理财计划的本金和收益不提供保证承诺。</w:t>
      </w:r>
      <w:r>
        <w:rPr>
          <w:rFonts w:hint="eastAsia" w:ascii="宋体" w:hAnsi="宋体" w:cs="宋体"/>
          <w:bCs/>
          <w:sz w:val="24"/>
          <w:highlight w:val="none"/>
        </w:rPr>
        <w:t>本理财计划主要风险为理财本金及收益风险，在极端市场情况下，投资者将损失本金，请投资者基于自身的独立判断进行投资决策。</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签署理财合同购买本理财计划前，应当仔细阅读本说明书及其他相关销售文件的全部内容，同时向管理人或销售机构了解本理财计划的具体信息，确保自身完全了解该项投资的性质、投资所涉及的风险以及自身的风险承受能力，在慎重考虑后独立做出认购决定。本说明书及投资者签署的《理财计划投资协议书》《风险揭示书》《投资者权益须知》《理财计划销售协议书》，将共同构成投资者与管理人之间的理财计划销售文件。</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投资者在购买本理财计划后，应随时关注本理财计划的信息披露情况，及时获取相关信息。如对本理财计划有任何疑问、异议或意见，请联系管理人或销售机构。</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投资者承诺其用于购买理财计划的资金来源合法合规，不存在使用贷款、发行债券等筹集的非自有资金投资本理财计划的情形，不存在依据联合国、中国政府或其他可适用政府或国际组织制裁范围。</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承诺其用于购买理财计划的资金为投资者合法持有，不存在他人持有或投资理财的情形；仅为合法目的持有本理财计划，如发生异常情况，投资者应配合管理人或销售机构开展客户身份识别及尽职调查等反洗钱活动，真实、准确提供相关身份与资金来源信息。</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本理财计划的任何业绩比较基准等类似表述均不具有法律约束性，不代表投资者可能获得的实际收益，不构成管理人对于本理财计划的任何收益承诺。</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管理人及销售机构将依据相关法律、法规严格履行投资者信息保密责任，除监管机构或司法机关等有权机构外，不得对其他第三方商业机构提供任何投资者信息。</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在本理财计划存续期内，如因监管政策或法律法规发生变化，在不损害投资者利益的前提下，管理人有权对因上述变化导致的本理财计划说明书条款变化进行修订。</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管理人承诺以诚实守信、勤勉尽职的原则，根据本理财计划说明书所载要求管理和运用理财计划资产。</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管理人有权依法对本理财计划产品说明书进行解释。</w:t>
      </w:r>
    </w:p>
    <w:p>
      <w:pPr>
        <w:spacing w:line="360" w:lineRule="auto"/>
        <w:jc w:val="left"/>
        <w:rPr>
          <w:rFonts w:hint="eastAsia" w:ascii="宋体" w:hAnsi="宋体" w:cs="宋体"/>
          <w:bCs/>
          <w:sz w:val="24"/>
          <w:highlight w:val="none"/>
        </w:rPr>
      </w:pPr>
    </w:p>
    <w:p>
      <w:pPr>
        <w:numPr>
          <w:ilvl w:val="0"/>
          <w:numId w:val="3"/>
        </w:numPr>
        <w:spacing w:line="360" w:lineRule="auto"/>
        <w:jc w:val="left"/>
        <w:outlineLvl w:val="1"/>
        <w:rPr>
          <w:rFonts w:ascii="宋体" w:hAnsi="宋体" w:cs="宋体"/>
          <w:b/>
          <w:sz w:val="24"/>
          <w:highlight w:val="none"/>
        </w:rPr>
      </w:pPr>
      <w:r>
        <w:rPr>
          <w:rFonts w:hint="eastAsia" w:ascii="宋体" w:hAnsi="宋体" w:cs="宋体"/>
          <w:b/>
          <w:sz w:val="24"/>
          <w:highlight w:val="none"/>
        </w:rPr>
        <w:t>释义</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本说明书中，除非另有明确说明，否则下列词语或简称具有如下含义：</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参与主体用语</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理财计划管理人/产品管理人/管理人/本公司：</w:t>
      </w:r>
      <w:r>
        <w:rPr>
          <w:rFonts w:hint="eastAsia" w:ascii="宋体" w:hAnsi="宋体" w:cs="宋体"/>
          <w:bCs/>
          <w:color w:val="auto"/>
          <w:kern w:val="2"/>
          <w:highlight w:val="none"/>
        </w:rPr>
        <w:t>指杭银理财有限责任公司，主要从事面向不特定社会公众公开发行理财产品、面向合格投资者非公开发行理财产品、理财顾问和咨询服务等相关业务。杭银理财有限责任公司简称杭银理财，官网网站为</w:t>
      </w:r>
      <w:r>
        <w:rPr>
          <w:rFonts w:hint="eastAsia" w:ascii="宋体" w:hAnsi="宋体" w:cs="宋体"/>
          <w:bCs/>
          <w:color w:val="auto"/>
          <w:kern w:val="2"/>
          <w:highlight w:val="none"/>
          <w:u w:val="single"/>
        </w:rPr>
        <w:t>https://www.hzbankwealth.com.cn。</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销售机构：</w:t>
      </w:r>
      <w:r>
        <w:rPr>
          <w:rFonts w:hint="eastAsia" w:ascii="宋体" w:hAnsi="宋体" w:cs="宋体"/>
          <w:bCs/>
          <w:color w:val="auto"/>
          <w:kern w:val="2"/>
          <w:highlight w:val="none"/>
        </w:rPr>
        <w:t>指包含但不限于指杭州银行股份有限公司等其他银行业金融机构或者国务院银行业监督管理机构认可的其他机构，可代为办理理财产品销售业务。杭州银行股份有限公司简称杭州银行，官方网站为</w:t>
      </w:r>
      <w:r>
        <w:fldChar w:fldCharType="begin"/>
      </w:r>
      <w:r>
        <w:rPr>
          <w:rFonts w:hint="eastAsia" w:ascii="宋体" w:hAnsi="宋体" w:cs="宋体"/>
          <w:bCs/>
          <w:color w:val="auto"/>
          <w:kern w:val="2"/>
          <w:highlight w:val="none"/>
          <w:u w:val="single"/>
        </w:rPr>
        <w:instrText xml:space="preserve"> HYPERLINK "http://www.hzbank.com.cn" </w:instrText>
      </w:r>
      <w:r>
        <w:fldChar w:fldCharType="separate"/>
      </w:r>
      <w:r>
        <w:rPr>
          <w:rFonts w:hint="eastAsia" w:ascii="宋体" w:hAnsi="宋体" w:cs="宋体"/>
          <w:bCs/>
          <w:color w:val="auto"/>
          <w:kern w:val="2"/>
          <w:highlight w:val="none"/>
          <w:u w:val="single"/>
        </w:rPr>
        <w:t>www.hzbank.com.cn</w:t>
      </w:r>
      <w:r>
        <w:fldChar w:fldCharType="end"/>
      </w:r>
      <w:r>
        <w:rPr>
          <w:rFonts w:hint="eastAsia" w:ascii="宋体" w:hAnsi="宋体" w:cs="宋体"/>
          <w:bCs/>
          <w:color w:val="auto"/>
          <w:kern w:val="2"/>
          <w:highlight w:val="none"/>
        </w:rPr>
        <w:t>，客服热线为95398。</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理财计划托管人/产品托管人/托管人：</w:t>
      </w:r>
      <w:r>
        <w:rPr>
          <w:rFonts w:hint="eastAsia" w:ascii="宋体" w:hAnsi="宋体" w:cs="宋体"/>
          <w:bCs/>
          <w:color w:val="auto"/>
          <w:kern w:val="2"/>
          <w:highlight w:val="none"/>
        </w:rPr>
        <w:t>指</w:t>
      </w:r>
      <w:r>
        <w:rPr>
          <w:rFonts w:hint="eastAsia" w:ascii="宋体" w:hAnsi="宋体" w:cs="宋体"/>
          <w:highlight w:val="none"/>
        </w:rPr>
        <w:t>〖</w:t>
      </w:r>
      <w:r>
        <w:rPr>
          <w:rFonts w:hint="eastAsia" w:ascii="宋体" w:hAnsi="宋体" w:cs="宋体"/>
          <w:bCs/>
          <w:color w:val="auto"/>
          <w:kern w:val="2"/>
          <w:highlight w:val="none"/>
        </w:rPr>
        <w:t>杭州银行股份有限公司</w:t>
      </w:r>
      <w:r>
        <w:rPr>
          <w:rFonts w:hint="eastAsia" w:ascii="宋体" w:hAnsi="宋体" w:cs="宋体"/>
          <w:highlight w:val="none"/>
        </w:rPr>
        <w:t>〗</w:t>
      </w:r>
      <w:r>
        <w:rPr>
          <w:rFonts w:hint="eastAsia" w:ascii="宋体" w:hAnsi="宋体" w:cs="宋体"/>
          <w:bCs/>
          <w:color w:val="auto"/>
          <w:kern w:val="2"/>
          <w:highlight w:val="none"/>
        </w:rPr>
        <w:t>。</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认购人：</w:t>
      </w:r>
      <w:r>
        <w:rPr>
          <w:rFonts w:hint="eastAsia" w:ascii="宋体" w:hAnsi="宋体" w:cs="宋体"/>
          <w:bCs/>
          <w:color w:val="auto"/>
          <w:kern w:val="2"/>
          <w:highlight w:val="none"/>
        </w:rPr>
        <w:t>指在理财计划认购期间签署理财计划合同并向理财计划管理人交付认购资金的个人、机构投资者。</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理财计划份额持有人/持有人：</w:t>
      </w:r>
      <w:r>
        <w:rPr>
          <w:rFonts w:hint="eastAsia" w:ascii="宋体" w:hAnsi="宋体" w:cs="宋体"/>
          <w:bCs/>
          <w:color w:val="auto"/>
          <w:kern w:val="2"/>
          <w:highlight w:val="none"/>
        </w:rPr>
        <w:t>指认购/申购申请后，经过管理人确认成功后，从而持有理财计划份额的投资者。</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监管机构：</w:t>
      </w:r>
      <w:r>
        <w:rPr>
          <w:rFonts w:hint="eastAsia" w:ascii="宋体" w:hAnsi="宋体" w:cs="宋体"/>
          <w:bCs/>
          <w:color w:val="auto"/>
          <w:kern w:val="2"/>
          <w:highlight w:val="none"/>
        </w:rPr>
        <w:t>指对管理人（包括本理财计划管理人、所投资的的信托计划/资管计划的管理人/受托人、相关投资顾问等）实施监督管理的机构，包括但不限于中国人民银行、国家金融监督管理总局、中国证券监督管理委员会、外汇管理局、银行业理财登记托管中心等。</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法律文件用语</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理财计划说明书/产品说明书：</w:t>
      </w:r>
      <w:r>
        <w:rPr>
          <w:rFonts w:hint="eastAsia" w:ascii="宋体" w:hAnsi="宋体" w:cs="宋体"/>
          <w:bCs/>
          <w:color w:val="auto"/>
          <w:kern w:val="2"/>
          <w:highlight w:val="none"/>
        </w:rPr>
        <w:t>指《</w:t>
      </w:r>
      <w:r>
        <w:rPr>
          <w:rFonts w:hint="eastAsia" w:ascii="宋体" w:hAnsi="宋体" w:cs="宋体"/>
          <w:bCs/>
          <w:color w:val="auto"/>
          <w:kern w:val="2"/>
          <w:highlight w:val="none"/>
          <w:lang w:eastAsia="zh-CN"/>
        </w:rPr>
        <w:t>幸福99丰裕固收386天25159期理财</w:t>
      </w:r>
      <w:r>
        <w:rPr>
          <w:rFonts w:hint="eastAsia" w:ascii="宋体" w:hAnsi="宋体" w:cs="宋体"/>
          <w:bCs/>
          <w:highlight w:val="none"/>
        </w:rPr>
        <w:t>产品说明书</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风险揭示书：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幸福99丰裕固收386天25159期理财</w:t>
      </w:r>
      <w:r>
        <w:rPr>
          <w:rFonts w:hint="eastAsia" w:ascii="宋体" w:hAnsi="宋体" w:cs="宋体"/>
          <w:bCs/>
          <w:highlight w:val="none"/>
        </w:rPr>
        <w:t>合同不可分割组成部分的风险揭示书，</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投资者权益须知：</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幸福99丰裕固收386天25159期理财</w:t>
      </w:r>
      <w:r>
        <w:rPr>
          <w:rFonts w:hint="eastAsia" w:ascii="宋体" w:hAnsi="宋体" w:cs="宋体"/>
          <w:bCs/>
          <w:highlight w:val="none"/>
        </w:rPr>
        <w:t>合同不可分割组成部分的投资者权益须知，</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理财计划投资协议书：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幸福99丰裕固收386天25159期理财</w:t>
      </w:r>
      <w:r>
        <w:rPr>
          <w:rFonts w:hint="eastAsia" w:ascii="宋体" w:hAnsi="宋体" w:cs="宋体"/>
          <w:bCs/>
          <w:highlight w:val="none"/>
        </w:rPr>
        <w:t>合同不可分割组成部分的理财计划投资协议书，</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理财计划销售协议书：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幸福99丰裕固收386天25159期理财</w:t>
      </w:r>
      <w:r>
        <w:rPr>
          <w:rFonts w:hint="eastAsia" w:ascii="宋体" w:hAnsi="宋体" w:cs="宋体"/>
          <w:bCs/>
          <w:color w:val="auto"/>
          <w:kern w:val="2"/>
          <w:highlight w:val="none"/>
        </w:rPr>
        <w:t>合同不可分割组成部分的理财计划销售协议书，以及对该文件的有效修改与补充。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理财计划合同/销售文件：</w:t>
      </w:r>
      <w:r>
        <w:rPr>
          <w:rFonts w:hint="eastAsia" w:ascii="宋体" w:hAnsi="宋体" w:cs="宋体"/>
          <w:bCs/>
          <w:color w:val="auto"/>
          <w:kern w:val="2"/>
          <w:highlight w:val="none"/>
        </w:rPr>
        <w:t>指《理财计划风险揭示书》《理财计划产品说明书》《投资者权益须知》《理财计划投资协议书》《理财计划销售协议书》五个部分。</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理财产品用语</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理财计划/理财产品/产品：</w:t>
      </w:r>
      <w:r>
        <w:rPr>
          <w:rFonts w:hint="eastAsia" w:ascii="宋体" w:hAnsi="宋体" w:cs="宋体"/>
          <w:bCs/>
          <w:color w:val="auto"/>
          <w:kern w:val="2"/>
          <w:highlight w:val="none"/>
        </w:rPr>
        <w:t>指</w:t>
      </w:r>
      <w:r>
        <w:rPr>
          <w:rFonts w:hint="eastAsia" w:ascii="宋体" w:hAnsi="宋体" w:cs="宋体"/>
          <w:bCs/>
          <w:color w:val="auto"/>
          <w:kern w:val="2"/>
          <w:highlight w:val="none"/>
          <w:lang w:eastAsia="zh-CN"/>
        </w:rPr>
        <w:t>幸福99丰裕固收386天25159期理财</w:t>
      </w:r>
      <w:r>
        <w:rPr>
          <w:rFonts w:hint="eastAsia" w:ascii="宋体" w:hAnsi="宋体" w:cs="宋体"/>
          <w:bCs/>
          <w:highlight w:val="none"/>
        </w:rPr>
        <w:t>。</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理财计划份额/产品份额：</w:t>
      </w:r>
      <w:r>
        <w:rPr>
          <w:rFonts w:hint="eastAsia" w:ascii="宋体" w:hAnsi="宋体" w:cs="宋体"/>
          <w:bCs/>
          <w:highlight w:val="none"/>
        </w:rPr>
        <w:t>指管理人根据理财计划合同向投资者发行的资产收益凭证。理财计划份额持有人基于其所持有的理财计划份额享有理财计划相关利益、承担理财计划相关风险。</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理财计划份额净值/产品份额净值：</w:t>
      </w:r>
      <w:r>
        <w:rPr>
          <w:rFonts w:hint="eastAsia" w:ascii="宋体" w:hAnsi="宋体" w:cs="宋体"/>
          <w:bCs/>
          <w:highlight w:val="none"/>
        </w:rPr>
        <w:t>指理财计划份额的单位净值，即每1份理财计划份额以人民币或外币（以产品说明书交易币种为准）计价的价格。</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理财计划份额累计净值/产品份额累计净值：</w:t>
      </w:r>
      <w:r>
        <w:rPr>
          <w:rFonts w:hint="eastAsia" w:ascii="宋体" w:hAnsi="宋体" w:cs="宋体"/>
          <w:bCs/>
          <w:highlight w:val="none"/>
        </w:rPr>
        <w:t>指理财计划份额的单位净值与理财计划成立后历次累计单位收益分配的总和。</w:t>
      </w:r>
    </w:p>
    <w:p>
      <w:pPr>
        <w:pStyle w:val="14"/>
        <w:numPr>
          <w:ilvl w:val="0"/>
          <w:numId w:val="7"/>
        </w:numPr>
        <w:adjustRightInd/>
        <w:spacing w:line="360" w:lineRule="auto"/>
        <w:rPr>
          <w:rFonts w:hint="eastAsia" w:ascii="宋体" w:hAnsi="宋体" w:cs="宋体"/>
          <w:b/>
          <w:highlight w:val="none"/>
        </w:rPr>
      </w:pPr>
      <w:r>
        <w:rPr>
          <w:rFonts w:hint="eastAsia" w:ascii="宋体" w:hAnsi="宋体" w:cs="宋体"/>
          <w:b/>
          <w:highlight w:val="none"/>
        </w:rPr>
        <w:t>工作日：</w:t>
      </w:r>
      <w:r>
        <w:rPr>
          <w:rFonts w:hint="eastAsia" w:ascii="宋体" w:hAnsi="宋体" w:cs="宋体"/>
          <w:bCs/>
          <w:highlight w:val="none"/>
        </w:rPr>
        <w:t>指除国家法定节假日和休息日外的日期。</w:t>
      </w:r>
    </w:p>
    <w:p>
      <w:pPr>
        <w:pStyle w:val="14"/>
        <w:numPr>
          <w:ilvl w:val="0"/>
          <w:numId w:val="7"/>
        </w:numPr>
        <w:adjustRightInd/>
        <w:spacing w:line="360" w:lineRule="auto"/>
        <w:rPr>
          <w:rFonts w:hint="eastAsia" w:ascii="宋体" w:hAnsi="宋体" w:cs="宋体"/>
          <w:b/>
          <w:highlight w:val="none"/>
        </w:rPr>
      </w:pPr>
      <w:r>
        <w:rPr>
          <w:rFonts w:hint="eastAsia" w:ascii="宋体" w:hAnsi="宋体" w:cs="宋体"/>
          <w:b/>
          <w:highlight w:val="none"/>
        </w:rPr>
        <w:t>交易日：</w:t>
      </w:r>
      <w:r>
        <w:rPr>
          <w:rFonts w:hint="eastAsia" w:ascii="宋体" w:hAnsi="宋体" w:cs="宋体"/>
          <w:bCs/>
          <w:highlight w:val="none"/>
        </w:rPr>
        <w:t>指</w:t>
      </w:r>
      <w:r>
        <w:rPr>
          <w:rFonts w:hint="eastAsia" w:ascii="宋体" w:hAnsi="宋体" w:cs="宋体"/>
          <w:szCs w:val="21"/>
          <w:highlight w:val="none"/>
        </w:rPr>
        <w:t>〖</w:t>
      </w:r>
      <w:r>
        <w:rPr>
          <w:rFonts w:hint="eastAsia" w:ascii="宋体" w:hAnsi="宋体" w:cs="宋体"/>
          <w:bCs/>
          <w:highlight w:val="none"/>
        </w:rPr>
        <w:t>上海证券交易所、深圳证券交易所</w:t>
      </w:r>
      <w:r>
        <w:rPr>
          <w:rFonts w:hint="eastAsia" w:ascii="宋体" w:hAnsi="宋体" w:cs="宋体"/>
          <w:szCs w:val="21"/>
          <w:highlight w:val="none"/>
        </w:rPr>
        <w:t>〗</w:t>
      </w:r>
      <w:r>
        <w:rPr>
          <w:rFonts w:hint="eastAsia" w:ascii="宋体" w:hAnsi="宋体" w:cs="宋体"/>
          <w:bCs/>
          <w:highlight w:val="none"/>
        </w:rPr>
        <w:t>的正常交易日。如涉及到监管条例部分，统一以监管条例表述替代。</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成立日：</w:t>
      </w:r>
      <w:r>
        <w:rPr>
          <w:rFonts w:hint="eastAsia" w:ascii="宋体" w:hAnsi="宋体" w:cs="宋体"/>
          <w:bCs/>
          <w:highlight w:val="none"/>
        </w:rPr>
        <w:t>指理财计划完成首次募集发行后正式成立运作日。</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认购期：</w:t>
      </w:r>
      <w:r>
        <w:rPr>
          <w:rFonts w:hint="eastAsia" w:ascii="宋体" w:hAnsi="宋体" w:cs="宋体"/>
          <w:bCs/>
          <w:color w:val="auto"/>
          <w:kern w:val="2"/>
          <w:highlight w:val="none"/>
        </w:rPr>
        <w:t>指理财计划成立前，理财计划管理人接受理财计划认购的时间。</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封闭期：</w:t>
      </w:r>
      <w:r>
        <w:rPr>
          <w:rFonts w:hint="eastAsia" w:ascii="宋体" w:hAnsi="宋体" w:cs="宋体"/>
          <w:bCs/>
          <w:color w:val="auto"/>
          <w:kern w:val="2"/>
          <w:highlight w:val="none"/>
        </w:rPr>
        <w:t>指理财计划成立后，理财计划不接受投资者申购赎回的时间。</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建仓期：</w:t>
      </w:r>
      <w:r>
        <w:rPr>
          <w:rFonts w:hint="eastAsia" w:ascii="宋体" w:hAnsi="宋体" w:cs="宋体"/>
          <w:bCs/>
          <w:color w:val="auto"/>
          <w:kern w:val="2"/>
          <w:highlight w:val="none"/>
        </w:rPr>
        <w:t>指理财计划成立后，在一定期限内投资比例无法满足本理财计划约定的投资比例要求。</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到期日：</w:t>
      </w:r>
      <w:r>
        <w:rPr>
          <w:rFonts w:hint="eastAsia" w:ascii="宋体" w:hAnsi="宋体" w:cs="宋体"/>
          <w:bCs/>
          <w:color w:val="auto"/>
          <w:kern w:val="2"/>
          <w:highlight w:val="none"/>
        </w:rPr>
        <w:t>指理财计划终止运作的日期。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收益分配基准日：</w:t>
      </w:r>
      <w:r>
        <w:rPr>
          <w:rFonts w:hint="eastAsia" w:ascii="宋体" w:hAnsi="宋体" w:cs="宋体"/>
          <w:bCs/>
          <w:color w:val="auto"/>
          <w:kern w:val="2"/>
          <w:highlight w:val="none"/>
        </w:rPr>
        <w:t>指理财计划进行收益分配时用以确认分配收益金额的最终确认日期。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节假日临时调整：</w:t>
      </w:r>
      <w:r>
        <w:rPr>
          <w:rFonts w:hint="eastAsia" w:ascii="宋体" w:hAnsi="宋体" w:cs="宋体"/>
          <w:bCs/>
          <w:color w:val="auto"/>
          <w:kern w:val="2"/>
          <w:highlight w:val="none"/>
        </w:rPr>
        <w:t>如因国家相关主管部门临时调整节假日安排，导致原定成立日、到期日、估值日等日期安排发生变化的，原则上采用顺延方式对原定日期进行调整，如有特殊安排，以管理人对外披露的公告为准。</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提前终止权：</w:t>
      </w:r>
      <w:r>
        <w:rPr>
          <w:rFonts w:hint="eastAsia" w:ascii="宋体" w:hAnsi="宋体" w:cs="宋体"/>
          <w:bCs/>
          <w:highlight w:val="none"/>
        </w:rPr>
        <w:t>指在本理财计划存续期内，管理人单方面决定全部提前终止本理财计划的权利。</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提前终止日：</w:t>
      </w:r>
      <w:r>
        <w:rPr>
          <w:rFonts w:hint="eastAsia" w:ascii="宋体" w:hAnsi="宋体" w:cs="宋体"/>
          <w:bCs/>
          <w:color w:val="auto"/>
          <w:kern w:val="2"/>
          <w:highlight w:val="none"/>
        </w:rPr>
        <w:t>指</w:t>
      </w:r>
      <w:r>
        <w:rPr>
          <w:rFonts w:hint="eastAsia" w:ascii="宋体" w:hAnsi="宋体" w:cs="宋体"/>
          <w:bCs/>
          <w:highlight w:val="none"/>
        </w:rPr>
        <w:t>管理人行使提前终止权的日期，即本理财计划被提前终止、开始停止计算收益的日期。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资金到账日：</w:t>
      </w:r>
      <w:r>
        <w:rPr>
          <w:rFonts w:hint="eastAsia" w:ascii="宋体" w:hAnsi="宋体" w:cs="宋体"/>
          <w:bCs/>
          <w:highlight w:val="none"/>
        </w:rPr>
        <w:t>指理财计划终止运作后，资金返还至投资者账户的日期。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w:t>
      </w:r>
      <w:r>
        <w:rPr>
          <w:rFonts w:hint="eastAsia" w:ascii="宋体" w:hAnsi="宋体" w:cs="宋体"/>
          <w:bCs/>
          <w:color w:val="auto"/>
          <w:kern w:val="2"/>
          <w:highlight w:val="none"/>
        </w:rPr>
        <w:t>指投资者根据理财计划约定申请购买本理财计划份额的行为。</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收益分配：</w:t>
      </w:r>
      <w:r>
        <w:rPr>
          <w:rFonts w:hint="eastAsia" w:ascii="宋体" w:hAnsi="宋体" w:cs="宋体"/>
          <w:bCs/>
          <w:color w:val="auto"/>
          <w:kern w:val="2"/>
          <w:highlight w:val="none"/>
        </w:rPr>
        <w:t>指管理人在满足收益分配基准日理财计划份额净值大于1元的情况下，定期或不定期将大于1元部分的收益进行全部或部分分配的行为。</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理财计划费用/产品费用：</w:t>
      </w:r>
      <w:r>
        <w:rPr>
          <w:rFonts w:hint="eastAsia" w:ascii="宋体" w:hAnsi="宋体" w:cs="宋体"/>
          <w:bCs/>
          <w:highlight w:val="none"/>
        </w:rPr>
        <w:t>指管理人为成立理财计划及处理理财计划事务而支出的所有费用，包括但不限于管理人收取的固定管理费、浮动管理费、销售服务费、托管人收取的托管费、交易费用、执行费用等相关费用，具体以实际发生为准。</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其他费用：</w:t>
      </w:r>
      <w:r>
        <w:rPr>
          <w:rFonts w:hint="eastAsia" w:ascii="宋体" w:hAnsi="宋体" w:cs="宋体"/>
          <w:bCs/>
          <w:highlight w:val="none"/>
        </w:rPr>
        <w:t>指除理财计划费用以外，理财计划涉及的其他相关费用，包括但不限于认购费、申购费、赎回费、投顾费等，具体以本说明书第八条约定为准。</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理财计划估值：</w:t>
      </w:r>
      <w:r>
        <w:rPr>
          <w:rFonts w:hint="eastAsia" w:ascii="宋体" w:hAnsi="宋体" w:cs="宋体"/>
          <w:bCs/>
          <w:highlight w:val="none"/>
        </w:rPr>
        <w:t>指计算评估理财计划资产以确定理财计划份额净值的过程。</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理财业绩比较基准：</w:t>
      </w:r>
      <w:r>
        <w:rPr>
          <w:rFonts w:hint="eastAsia" w:ascii="宋体" w:hAnsi="宋体" w:cs="宋体"/>
          <w:bCs/>
          <w:color w:val="auto"/>
          <w:kern w:val="2"/>
          <w:highlight w:val="none"/>
        </w:rPr>
        <w:t>指管理人基于过往投资经验及对市场波动的判断与预测而对本理财计划设定的投资目标，不代表本理财计划的未来表现和实际收益，或管理人对本理财计划的收益承诺。</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指定账户：</w:t>
      </w:r>
      <w:r>
        <w:rPr>
          <w:rFonts w:hint="eastAsia" w:ascii="宋体" w:hAnsi="宋体" w:cs="宋体"/>
          <w:bCs/>
          <w:color w:val="auto"/>
          <w:kern w:val="2"/>
          <w:highlight w:val="none"/>
        </w:rPr>
        <w:t>指投资者开立的，在理财计划认/申购时指定扣划本金、返还本金或收益的银行账户。</w:t>
      </w:r>
    </w:p>
    <w:p>
      <w:pPr>
        <w:pStyle w:val="14"/>
        <w:numPr>
          <w:ilvl w:val="0"/>
          <w:numId w:val="7"/>
        </w:numPr>
        <w:adjustRightInd/>
        <w:spacing w:line="360" w:lineRule="auto"/>
        <w:ind w:left="0" w:firstLine="0"/>
        <w:rPr>
          <w:rFonts w:hint="eastAsia" w:ascii="宋体" w:hAnsi="宋体" w:cs="宋体"/>
          <w:b/>
          <w:color w:val="auto"/>
          <w:kern w:val="2"/>
          <w:highlight w:val="none"/>
        </w:rPr>
      </w:pPr>
      <w:r>
        <w:rPr>
          <w:rFonts w:hint="eastAsia" w:ascii="宋体" w:hAnsi="宋体" w:cs="宋体"/>
          <w:b/>
          <w:bCs w:val="0"/>
          <w:color w:val="auto"/>
          <w:kern w:val="2"/>
          <w:highlight w:val="none"/>
          <w:lang w:val="en-US" w:eastAsia="zh-CN"/>
        </w:rPr>
        <w:t>流动性</w:t>
      </w:r>
      <w:r>
        <w:rPr>
          <w:rFonts w:hint="eastAsia"/>
          <w:b/>
          <w:bCs w:val="0"/>
          <w:highlight w:val="none"/>
          <w:lang w:val="en-US" w:eastAsia="zh-CN"/>
        </w:rPr>
        <w:t>受限资产：</w:t>
      </w:r>
      <w:r>
        <w:rPr>
          <w:rFonts w:hint="eastAsia"/>
          <w:highlight w:val="none"/>
          <w:lang w:val="en-US" w:eastAsia="zh-CN"/>
        </w:rPr>
        <w:t>是指由于法律法规、监管、合同或操作障碍等原因无法以合理价格予以变现的资产，包括到期日在</w:t>
      </w:r>
      <w:r>
        <w:rPr>
          <w:rFonts w:hint="eastAsia" w:ascii="宋体" w:hAnsi="宋体" w:eastAsia="宋体" w:cs="宋体"/>
          <w:highlight w:val="none"/>
          <w:lang w:val="en-US" w:eastAsia="zh-CN"/>
        </w:rPr>
        <w:t>10</w:t>
      </w:r>
      <w:r>
        <w:rPr>
          <w:rFonts w:hint="eastAsia"/>
          <w:highlight w:val="none"/>
          <w:lang w:val="en-US" w:eastAsia="zh-CN"/>
        </w:rPr>
        <w:t>个交易日以上的逆回购与银行定期存款（含协议约定有条件提前支取的银行存款）、距可赎回日在</w:t>
      </w:r>
      <w:r>
        <w:rPr>
          <w:rFonts w:hint="eastAsia" w:ascii="宋体" w:hAnsi="宋体" w:eastAsia="宋体" w:cs="宋体"/>
          <w:highlight w:val="none"/>
          <w:lang w:val="en-US" w:eastAsia="zh-CN"/>
        </w:rPr>
        <w:t>10</w:t>
      </w:r>
      <w:r>
        <w:rPr>
          <w:rFonts w:hint="eastAsia"/>
          <w:highlight w:val="none"/>
          <w:lang w:val="en-US" w:eastAsia="zh-CN"/>
        </w:rPr>
        <w:t>个交易日以上的资产管理产品、停牌股票、流通受限的新股及非公开发行股票、资产支持证券（票据），因发行人债务违约无法进行转让或交易的债券和非金融企业债务融资工具，以及其他流动性受限资产。</w:t>
      </w:r>
    </w:p>
    <w:p>
      <w:pPr>
        <w:pStyle w:val="14"/>
        <w:numPr>
          <w:ilvl w:val="0"/>
          <w:numId w:val="7"/>
        </w:numPr>
        <w:adjustRightInd/>
        <w:spacing w:line="360" w:lineRule="auto"/>
        <w:ind w:left="0" w:firstLine="0"/>
        <w:rPr>
          <w:rFonts w:hint="eastAsia" w:ascii="宋体" w:hAnsi="宋体" w:cs="宋体"/>
          <w:b/>
          <w:color w:val="auto"/>
          <w:kern w:val="2"/>
          <w:highlight w:val="none"/>
        </w:rPr>
      </w:pPr>
      <w:r>
        <w:rPr>
          <w:rFonts w:hint="eastAsia"/>
          <w:b/>
          <w:bCs/>
          <w:highlight w:val="none"/>
          <w:lang w:val="en-US" w:eastAsia="zh-CN"/>
        </w:rPr>
        <w:t>投资退出期：</w:t>
      </w:r>
      <w:r>
        <w:rPr>
          <w:rFonts w:hint="eastAsia" w:ascii="Times New Roman" w:hAnsi="Times New Roman" w:eastAsia="宋体" w:cs="Times New Roman"/>
          <w:highlight w:val="none"/>
          <w:lang w:val="en-US" w:eastAsia="zh-CN"/>
        </w:rPr>
        <w:t>是指理财计划临近到期前，管理人通过资产变现用以进行资金交割清算的准备期。</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相关事件用语</w:t>
      </w:r>
    </w:p>
    <w:p>
      <w:pPr>
        <w:pStyle w:val="14"/>
        <w:numPr>
          <w:ilvl w:val="0"/>
          <w:numId w:val="8"/>
        </w:numPr>
        <w:adjustRightInd/>
        <w:spacing w:line="360" w:lineRule="auto"/>
        <w:rPr>
          <w:rFonts w:hint="eastAsia" w:ascii="宋体" w:hAnsi="宋体" w:cs="宋体"/>
          <w:bCs/>
          <w:color w:val="auto"/>
          <w:kern w:val="2"/>
          <w:highlight w:val="none"/>
        </w:rPr>
      </w:pPr>
      <w:r>
        <w:rPr>
          <w:rFonts w:hint="eastAsia" w:ascii="宋体" w:hAnsi="宋体" w:cs="宋体"/>
          <w:b/>
          <w:color w:val="auto"/>
          <w:kern w:val="2"/>
          <w:highlight w:val="none"/>
        </w:rPr>
        <w:t>不可抗力：</w:t>
      </w:r>
      <w:r>
        <w:rPr>
          <w:rFonts w:hint="eastAsia" w:ascii="宋体" w:hAnsi="宋体" w:cs="宋体"/>
          <w:bCs/>
          <w:color w:val="auto"/>
          <w:kern w:val="2"/>
          <w:highlight w:val="none"/>
        </w:rPr>
        <w:t>指理财计划各方不能预见、不能避免且不能克服的客观情况，该事件妨碍、影响或延误任何一方依据相关理财计划文件履行其全面或部分义务。该事件包括但不限于:</w:t>
      </w:r>
    </w:p>
    <w:p>
      <w:pPr>
        <w:pStyle w:val="14"/>
        <w:adjustRightInd/>
        <w:spacing w:line="360" w:lineRule="auto"/>
        <w:ind w:firstLine="480" w:firstLineChars="200"/>
        <w:rPr>
          <w:bCs/>
          <w:highlight w:val="none"/>
        </w:rPr>
      </w:pPr>
      <w:r>
        <w:rPr>
          <w:rFonts w:hint="eastAsia" w:ascii="宋体" w:hAnsi="宋体" w:cs="宋体"/>
          <w:bCs/>
          <w:color w:val="auto"/>
          <w:kern w:val="2"/>
          <w:highlight w:val="none"/>
        </w:rPr>
        <w:t>（1）地震、台风、海啸、洪水、火灾、停电、瘟疫、突发公共卫生事件；</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（2）战争、政变、恐怖主义行动、骚乱、罢工；</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（3）新的适用法律或国家政策的颁布或实施、对原适用法律或国家政策的修改；</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（4）金融管理部门强制要求终止理财计划（该等强制要求不可归咎于任何一方）；</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（5）因理财计划各方和/或其关联方运营网络系统遭受黑客攻击、电信部门技术调整或故障等原因而造成的理财计划各方和/或其关联方之服务、营业的中断或者延迟。</w:t>
      </w:r>
    </w:p>
    <w:p>
      <w:pPr>
        <w:pStyle w:val="14"/>
        <w:numPr>
          <w:ilvl w:val="0"/>
          <w:numId w:val="9"/>
        </w:numPr>
        <w:adjustRightInd/>
        <w:spacing w:line="360" w:lineRule="auto"/>
        <w:ind w:firstLine="482" w:firstLineChars="200"/>
        <w:rPr>
          <w:rFonts w:hint="eastAsia" w:ascii="宋体" w:hAnsi="宋体" w:cs="宋体"/>
          <w:b/>
          <w:color w:val="auto"/>
          <w:kern w:val="2"/>
          <w:highlight w:val="none"/>
        </w:rPr>
      </w:pPr>
      <w:r>
        <w:rPr>
          <w:rFonts w:hint="eastAsia" w:ascii="宋体" w:hAnsi="宋体" w:cs="宋体"/>
          <w:b/>
          <w:color w:val="auto"/>
          <w:kern w:val="2"/>
          <w:highlight w:val="none"/>
        </w:rPr>
        <w:t>巨额赎回：</w:t>
      </w:r>
      <w:r>
        <w:rPr>
          <w:rFonts w:hint="eastAsia" w:ascii="宋体" w:hAnsi="宋体" w:cs="宋体"/>
          <w:bCs/>
          <w:color w:val="auto"/>
          <w:kern w:val="2"/>
          <w:highlight w:val="none"/>
        </w:rPr>
        <w:t>指理财计划的申购和赎回开放期内，理财计划任一开放日净赎回申请份额超过上一工作日日终理财计划总份额的10%，即为发生巨额赎回行为。</w:t>
      </w:r>
    </w:p>
    <w:p>
      <w:pPr>
        <w:pStyle w:val="14"/>
        <w:numPr>
          <w:ilvl w:val="0"/>
          <w:numId w:val="9"/>
        </w:numPr>
        <w:adjustRightInd/>
        <w:spacing w:line="360" w:lineRule="auto"/>
        <w:ind w:firstLine="482" w:firstLineChars="200"/>
        <w:rPr>
          <w:rFonts w:hint="eastAsia" w:ascii="宋体" w:hAnsi="宋体" w:cs="宋体"/>
          <w:b/>
          <w:bCs w:val="0"/>
          <w:color w:val="auto"/>
          <w:kern w:val="2"/>
          <w:highlight w:val="none"/>
        </w:rPr>
      </w:pPr>
      <w:r>
        <w:rPr>
          <w:rFonts w:hint="eastAsia" w:ascii="宋体" w:hAnsi="宋体" w:cs="宋体"/>
          <w:b/>
          <w:bCs w:val="0"/>
          <w:color w:val="auto"/>
          <w:kern w:val="2"/>
          <w:highlight w:val="none"/>
          <w:lang w:val="en-US" w:eastAsia="zh-CN"/>
        </w:rPr>
        <w:t>摆动定价机制：</w:t>
      </w:r>
      <w:r>
        <w:rPr>
          <w:rFonts w:hint="eastAsia" w:ascii="宋体" w:hAnsi="宋体" w:cs="宋体"/>
          <w:b w:val="0"/>
          <w:bCs/>
          <w:color w:val="auto"/>
          <w:kern w:val="2"/>
          <w:highlight w:val="none"/>
          <w:lang w:val="en-US" w:eastAsia="zh-CN"/>
        </w:rPr>
        <w:t>指当开放式公募理财计划遭遇大额申购或赎回时，通过调整理财计划份额净值的方式，将理财计划调整投资组合的市场冲击成本分配给实际认购、赎回的投资者，从而减少对存量理财计划份额持有人利益的不利影响。</w:t>
      </w:r>
    </w:p>
    <w:p>
      <w:pPr>
        <w:pStyle w:val="14"/>
        <w:numPr>
          <w:ilvl w:val="0"/>
          <w:numId w:val="9"/>
        </w:numPr>
        <w:adjustRightInd/>
        <w:spacing w:line="360" w:lineRule="auto"/>
        <w:ind w:firstLine="482" w:firstLineChars="200"/>
        <w:rPr>
          <w:rFonts w:hint="eastAsia" w:ascii="宋体" w:hAnsi="宋体" w:cs="宋体"/>
          <w:bCs/>
          <w:color w:val="auto"/>
          <w:kern w:val="2"/>
          <w:highlight w:val="none"/>
        </w:rPr>
      </w:pPr>
      <w:r>
        <w:rPr>
          <w:rFonts w:hint="eastAsia" w:ascii="宋体" w:hAnsi="宋体" w:cs="宋体"/>
          <w:b/>
          <w:bCs w:val="0"/>
          <w:color w:val="auto"/>
          <w:kern w:val="2"/>
          <w:highlight w:val="none"/>
          <w:lang w:val="en-US" w:eastAsia="zh-CN"/>
        </w:rPr>
        <w:t>短期赎回费机制：</w:t>
      </w:r>
      <w:r>
        <w:rPr>
          <w:rFonts w:hint="eastAsia" w:ascii="宋体" w:hAnsi="宋体" w:cs="宋体"/>
          <w:b w:val="0"/>
          <w:bCs/>
          <w:color w:val="auto"/>
          <w:kern w:val="2"/>
          <w:highlight w:val="none"/>
          <w:lang w:val="en-US" w:eastAsia="zh-CN"/>
        </w:rPr>
        <w:t>指当理财计划发生巨额赎回或管理人认为可能导致理财计划流动性风险的其他情形下，理财计划管理人可临时性收取短期赎回费以应对流动性风险事件，并将上述产生费用全额计入理财计划财产。</w:t>
      </w:r>
    </w:p>
    <w:p>
      <w:pPr>
        <w:pStyle w:val="14"/>
        <w:adjustRightInd/>
        <w:spacing w:line="360" w:lineRule="auto"/>
        <w:rPr>
          <w:rFonts w:hint="eastAsia" w:ascii="宋体" w:hAnsi="宋体" w:cs="宋体"/>
          <w:bCs/>
          <w:color w:val="auto"/>
          <w:kern w:val="2"/>
          <w:highlight w:val="none"/>
        </w:rPr>
      </w:pPr>
    </w:p>
    <w:p>
      <w:pPr>
        <w:pStyle w:val="14"/>
        <w:numPr>
          <w:ilvl w:val="0"/>
          <w:numId w:val="10"/>
        </w:numPr>
        <w:adjustRightInd/>
        <w:spacing w:line="360" w:lineRule="auto"/>
        <w:outlineLvl w:val="1"/>
        <w:rPr>
          <w:rFonts w:hint="eastAsia" w:ascii="宋体" w:hAnsi="宋体" w:cs="宋体"/>
          <w:b/>
          <w:color w:val="auto"/>
          <w:kern w:val="2"/>
          <w:highlight w:val="none"/>
        </w:rPr>
      </w:pPr>
      <w:r>
        <w:rPr>
          <w:rFonts w:hint="eastAsia" w:ascii="宋体" w:hAnsi="宋体" w:cs="宋体"/>
          <w:b/>
          <w:color w:val="auto"/>
          <w:kern w:val="2"/>
          <w:highlight w:val="none"/>
        </w:rPr>
        <w:t>风险评级</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产品风险评级由管理人根据产品投资组合、投资运作情况、同类产品过往业绩和风险水平等因素合理确定。根据管理人内部风险评级标准，</w:t>
      </w:r>
      <w:r>
        <w:rPr>
          <w:rFonts w:hint="eastAsia" w:ascii="宋体" w:hAnsi="宋体" w:cs="宋体"/>
          <w:b/>
          <w:color w:val="auto"/>
          <w:kern w:val="2"/>
          <w:highlight w:val="none"/>
        </w:rPr>
        <w:t>本理财计划的风险等级为〖</w:t>
      </w:r>
      <w:r>
        <w:rPr>
          <w:rFonts w:hint="eastAsia" w:ascii="宋体" w:hAnsi="宋体" w:cs="宋体"/>
          <w:b/>
          <w:sz w:val="24"/>
          <w:highlight w:val="none"/>
          <w:lang w:val="en-US" w:eastAsia="zh-CN"/>
        </w:rPr>
        <w:t>R2</w:t>
      </w:r>
      <w:r>
        <w:rPr>
          <w:rFonts w:hint="eastAsia" w:ascii="宋体" w:hAnsi="宋体" w:cs="宋体"/>
          <w:b/>
          <w:color w:val="auto"/>
          <w:kern w:val="2"/>
          <w:highlight w:val="none"/>
        </w:rPr>
        <w:t>〗，〖</w:t>
      </w:r>
      <w:r>
        <w:rPr>
          <w:rFonts w:hint="eastAsia" w:ascii="宋体" w:hAnsi="宋体" w:cs="宋体"/>
          <w:b/>
          <w:sz w:val="24"/>
          <w:highlight w:val="none"/>
          <w:lang w:val="en-US" w:eastAsia="zh-CN"/>
        </w:rPr>
        <w:t>中低</w:t>
      </w:r>
      <w:r>
        <w:rPr>
          <w:rFonts w:hint="eastAsia" w:ascii="宋体" w:hAnsi="宋体" w:cs="宋体"/>
          <w:b/>
          <w:color w:val="auto"/>
          <w:kern w:val="2"/>
          <w:highlight w:val="none"/>
        </w:rPr>
        <w:t>〗风险。</w:t>
      </w:r>
      <w:r>
        <w:rPr>
          <w:rFonts w:hint="eastAsia" w:ascii="宋体" w:hAnsi="宋体" w:cs="宋体"/>
          <w:bCs/>
          <w:color w:val="auto"/>
          <w:kern w:val="2"/>
          <w:highlight w:val="none"/>
        </w:rPr>
        <w:t>该评级仅是管理人内部测评结果，仅供投资者参考，不具有任何法律约束力。</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502"/>
        <w:gridCol w:w="5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内部风险评级</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风险程度</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适合的投资者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R1</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低</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保守型、稳健型、平衡型、成长型、进取型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R2</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中低</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稳健型、平衡型、成长型、进取型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R3</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中</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R4</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中高</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R5</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高</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进取型</w:t>
            </w:r>
          </w:p>
        </w:tc>
      </w:tr>
    </w:tbl>
    <w:p>
      <w:pPr>
        <w:pStyle w:val="14"/>
        <w:adjustRightInd/>
        <w:spacing w:line="360" w:lineRule="auto"/>
        <w:ind w:firstLine="480" w:firstLineChars="200"/>
        <w:rPr>
          <w:rFonts w:ascii="宋体" w:hAnsi="宋体" w:cs="宋体"/>
          <w:bCs/>
          <w:color w:val="auto"/>
          <w:kern w:val="2"/>
          <w:highlight w:val="none"/>
        </w:rPr>
      </w:pPr>
      <w:r>
        <w:rPr>
          <w:rFonts w:hint="eastAsia" w:ascii="宋体" w:hAnsi="宋体" w:cs="宋体"/>
          <w:bCs/>
          <w:color w:val="auto"/>
          <w:kern w:val="2"/>
          <w:highlight w:val="none"/>
        </w:rPr>
        <w:t>投资者风险承受能力评级水平以销售机构评估为准。</w:t>
      </w:r>
    </w:p>
    <w:p>
      <w:pPr>
        <w:pStyle w:val="14"/>
        <w:adjustRightInd/>
        <w:spacing w:line="360" w:lineRule="auto"/>
        <w:rPr>
          <w:rFonts w:hint="eastAsia" w:ascii="宋体" w:hAnsi="宋体" w:cs="宋体"/>
          <w:bCs/>
          <w:color w:val="auto"/>
          <w:kern w:val="2"/>
          <w:highlight w:val="none"/>
        </w:rPr>
      </w:pPr>
    </w:p>
    <w:p>
      <w:pPr>
        <w:pStyle w:val="14"/>
        <w:numPr>
          <w:ilvl w:val="0"/>
          <w:numId w:val="10"/>
        </w:numPr>
        <w:adjustRightInd/>
        <w:spacing w:line="360" w:lineRule="auto"/>
        <w:outlineLvl w:val="1"/>
        <w:rPr>
          <w:rFonts w:hint="eastAsia" w:ascii="宋体" w:hAnsi="宋体" w:cs="宋体"/>
          <w:b/>
          <w:color w:val="auto"/>
          <w:kern w:val="2"/>
          <w:highlight w:val="none"/>
        </w:rPr>
      </w:pPr>
      <w:r>
        <w:rPr>
          <w:rFonts w:hint="eastAsia" w:ascii="宋体" w:hAnsi="宋体" w:cs="宋体"/>
          <w:b/>
          <w:color w:val="auto"/>
          <w:kern w:val="2"/>
          <w:highlight w:val="none"/>
        </w:rPr>
        <w:t>产品要素</w:t>
      </w:r>
    </w:p>
    <w:tbl>
      <w:tblPr>
        <w:tblStyle w:val="8"/>
        <w:tblW w:w="8865"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1680"/>
        <w:gridCol w:w="7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产品名称</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幸福99丰裕固收386天25159期理财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产品简称</w:t>
            </w:r>
          </w:p>
        </w:tc>
        <w:tc>
          <w:tcPr>
            <w:tcW w:w="7185" w:type="dxa"/>
            <w:noWrap w:val="0"/>
            <w:vAlign w:val="center"/>
          </w:tcPr>
          <w:p>
            <w:pPr>
              <w:widowControl/>
              <w:spacing w:line="360" w:lineRule="auto"/>
              <w:contextualSpacing/>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丰裕固收25159期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产品编号</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〖FYG25159〗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881"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登记编码</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本理财计划在全国银行业理财信息登记系统的登记编码是〖Z7002225000297〗，投资者可依据该编码在“中国理财网（www.chinawealth.com.cn）”查询本理财计划信息。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451"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发行对象</w:t>
            </w:r>
          </w:p>
        </w:tc>
        <w:tc>
          <w:tcPr>
            <w:tcW w:w="7185" w:type="dxa"/>
            <w:noWrap w:val="0"/>
            <w:vAlign w:val="center"/>
          </w:tcPr>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本理财计划适合</w:t>
            </w:r>
            <w:r>
              <w:rPr>
                <w:rFonts w:hint="eastAsia" w:ascii="宋体" w:hAnsi="宋体" w:eastAsia="宋体" w:cs="宋体"/>
                <w:b/>
                <w:kern w:val="2"/>
                <w:sz w:val="21"/>
                <w:szCs w:val="21"/>
                <w:highlight w:val="none"/>
                <w:lang w:val="en-US" w:eastAsia="zh-CN" w:bidi="ar-SA"/>
              </w:rPr>
              <w:t>〖</w:t>
            </w:r>
            <w:r>
              <w:rPr>
                <w:rFonts w:hint="eastAsia" w:ascii="宋体" w:hAnsi="宋体" w:eastAsia="宋体" w:cs="宋体"/>
                <w:b/>
                <w:color w:val="000000"/>
                <w:kern w:val="2"/>
                <w:sz w:val="21"/>
                <w:szCs w:val="21"/>
                <w:highlight w:val="none"/>
                <w:lang w:val="en-US" w:eastAsia="zh-CN" w:bidi="ar-SA"/>
              </w:rPr>
              <w:t>机构投资者〗以及〖稳健型、平衡型、成长型、进取型〗的个人投资者。</w:t>
            </w:r>
            <w:r>
              <w:rPr>
                <w:rFonts w:hint="eastAsia" w:ascii="宋体" w:hAnsi="宋体" w:eastAsia="宋体" w:cs="宋体"/>
                <w:bCs/>
                <w:kern w:val="2"/>
                <w:sz w:val="21"/>
                <w:szCs w:val="24"/>
                <w:highlight w:val="none"/>
                <w:lang w:val="en-US" w:eastAsia="zh-CN" w:bidi="ar-SA"/>
              </w:rPr>
              <w:t>投资者风险承受能力评级水平以销售机构评估为准。</w:t>
            </w:r>
          </w:p>
          <w:p>
            <w:pPr>
              <w:widowControl/>
              <w:spacing w:line="300" w:lineRule="auto"/>
              <w:contextualSpacing/>
              <w:jc w:val="both"/>
              <w:rPr>
                <w:rFonts w:hint="eastAsia" w:ascii="宋体" w:hAnsi="宋体" w:eastAsia="宋体" w:cs="黑体"/>
                <w:color w:val="000000"/>
                <w:kern w:val="2"/>
                <w:sz w:val="21"/>
                <w:szCs w:val="21"/>
                <w:highlight w:val="none"/>
                <w:lang w:val="en-US" w:eastAsia="zh-CN" w:bidi="ar-SA"/>
              </w:rPr>
            </w:pPr>
            <w:r>
              <w:rPr>
                <w:rFonts w:hint="eastAsia" w:ascii="宋体" w:hAnsi="宋体" w:eastAsia="宋体" w:cs="宋体"/>
                <w:bCs/>
                <w:color w:val="000000"/>
                <w:kern w:val="2"/>
                <w:sz w:val="21"/>
                <w:szCs w:val="21"/>
                <w:highlight w:val="none"/>
                <w:lang w:val="en-US" w:eastAsia="zh-CN" w:bidi="ar-SA"/>
              </w:rPr>
              <w:t>其中：</w:t>
            </w:r>
            <w:r>
              <w:rPr>
                <w:rFonts w:hint="eastAsia" w:ascii="宋体" w:hAnsi="宋体" w:eastAsia="宋体" w:cs="黑体"/>
                <w:color w:val="000000"/>
                <w:kern w:val="2"/>
                <w:sz w:val="21"/>
                <w:szCs w:val="21"/>
                <w:highlight w:val="none"/>
                <w:lang w:val="en-US" w:eastAsia="zh-CN" w:bidi="ar-SA"/>
              </w:rPr>
              <w:t xml:space="preserve"> </w:t>
            </w:r>
          </w:p>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A份额（销售代码〖FYG25159A〗）：普通个人投资者和机构客户。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B份额（销售代码〖FYG25159B〗）：普通个人投资者和机构客户。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C份额（销售代码〖FYG25159C〗）：普通个人投资者和机构客户。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D份额（销售代码〖FYG25159D〗）：普通个人投资者和机构客户。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E份额（公司专属）（销售代码〖FYG25159E〗）：普通个人投资者和机构客户。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F份额（销售代码〖FYG25159F〗）：普通个人投资者和机构客户。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G份额（销售代码〖FYG25159G〗）：普通个人投资者和机构客户。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H份额（北行专属）（销售代码〖FYG25159H〗）：普通个人投资者和机构客户。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I份额（爽盈优选）（销售代码〖FYG25159I〗）：普通个人投资者和机构客户。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J份额（销售代码〖FYG25159J〗）：普通个人投资者和机构客户。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K份额（鲲鹏优选）（销售代码〖FYG25159K〗）：普通个人投资者和机构客户。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L份额（兰行专属）（销售代码〖FYG25159L〗）：普通个人投资者和机构客户。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N份额惠享款（长长财富·专属）（销售代码〖FYG25159N〗）：普通个人投资者和机构客户。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P份额（芙蓉锦程·优选）（销售代码〖FYG25159P〗）：普通个人投资者和机构客户。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Q份额惠享款（候鸟专属）（销售代码〖FYG25159Q〗）：普通个人投资者和机构客户。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R份额惠享款吉行十二号（销售代码〖FYG25159R〗）：普通个人投资者和机构客户。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S份额惠享款（齐鲁-逢六有约）（销售代码〖FYG25159S〗）：普通个人投资者和机构客户。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U份额惠享款（销售代码〖FYG25159U〗）：普通个人投资者和机构客户。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V份额（金芙蓉专属）（销售代码〖FYG25159V〗）：普通个人投资者和机构客户。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W份额惠享款（销售代码〖FYG25159W〗）：普通个人投资者和机构客户。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X份额（销售代码〖FYG25159X〗）：普通个人投资者。</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Y份额惠享款（销售代码〖FYG25159Y〗）：普通个人投资者和机构客户。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Z份额惠享款（销售代码〖FYG25159Z〗）：普通个人投资者和机构客户。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发行方式</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产品类型</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〖固定收益类〗</w:t>
            </w:r>
            <w:r>
              <w:rPr>
                <w:rFonts w:hint="eastAsia" w:ascii="宋体" w:hAnsi="宋体" w:eastAsia="宋体" w:cs="宋体"/>
                <w:color w:val="000000"/>
                <w:kern w:val="2"/>
                <w:sz w:val="21"/>
                <w:szCs w:val="21"/>
                <w:highlight w:val="none"/>
                <w:lang w:val="en-US" w:eastAsia="zh-CN" w:bidi="ar-SA"/>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08" w:hRule="atLeast"/>
        </w:trPr>
        <w:tc>
          <w:tcPr>
            <w:tcW w:w="1680" w:type="dxa"/>
            <w:noWrap w:val="0"/>
            <w:vAlign w:val="center"/>
          </w:tcPr>
          <w:p>
            <w:pPr>
              <w:widowControl/>
              <w:spacing w:line="360" w:lineRule="auto"/>
              <w:contextualSpacing/>
              <w:jc w:val="center"/>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运作模式</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分级产品</w:t>
            </w:r>
          </w:p>
        </w:tc>
        <w:tc>
          <w:tcPr>
            <w:tcW w:w="7185" w:type="dxa"/>
            <w:noWrap w:val="0"/>
            <w:vAlign w:val="center"/>
          </w:tcPr>
          <w:p>
            <w:pPr>
              <w:widowControl/>
              <w:spacing w:line="360" w:lineRule="auto"/>
              <w:contextualSpacing/>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销售范围</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全国</w:t>
            </w:r>
            <w:r>
              <w:rPr>
                <w:rFonts w:hint="eastAsia" w:ascii="宋体" w:hAnsi="宋体" w:eastAsia="宋体" w:cs="宋体"/>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销售渠道</w:t>
            </w:r>
          </w:p>
        </w:tc>
        <w:tc>
          <w:tcPr>
            <w:tcW w:w="7185" w:type="dxa"/>
            <w:noWrap w:val="0"/>
            <w:vAlign w:val="center"/>
          </w:tcPr>
          <w:p>
            <w:pPr>
              <w:widowControl/>
              <w:spacing w:line="360" w:lineRule="auto"/>
              <w:contextualSpacing/>
              <w:jc w:val="left"/>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可通过杭银理财直销渠道和代理销售机构的</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营业网点、网上银行、手机银行</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等渠道购买，通过代理销售机构购买的，具体销售渠道以代理销售机构披露为准。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交易币种</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发行规模上限</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〖2025〗年〖8〗月〖19〗日-〖2025〗年〖8〗月〖25〗日</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认购时间</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认购期首日〖9：00〗至认购结束日〖17：00〗</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成立日</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〖2025〗年〖8〗月〖26〗日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到期日</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〖2026〗年〖9〗月〖16〗日，若到期日为非工作日则顺延至下一个工作日。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理财期限</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〖386〗天（实际理财期限受制于管理人提前终止权等条款）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认购起点金额</w:t>
            </w:r>
          </w:p>
        </w:tc>
        <w:tc>
          <w:tcPr>
            <w:tcW w:w="7185" w:type="dxa"/>
            <w:noWrap w:val="0"/>
            <w:vAlign w:val="center"/>
          </w:tcPr>
          <w:p>
            <w:pPr>
              <w:widowControl/>
              <w:spacing w:line="360" w:lineRule="auto"/>
              <w:contextualSpacing/>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〖A份额〗起点〖1〗元整，超过认购起点部分，应为〖1〗元的整数倍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〖B份额〗起点〖1〗元整，超过认购起点部分，应为〖1〗元的整数倍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〖C份额〗起点〖1〗元整，超过认购起点部分，应为〖1〗元的整数倍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〖D份额〗起点〖1〗元整，超过认购起点部分，应为〖1〗元的整数倍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〖E份额〗起点〖1〗元整，超过认购起点部分，应为〖1〗元的整数倍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〖F份额〗起点〖1〗元整，超过认购起点部分，应为〖1〗元的整数倍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〖G份额〗起点〖1〗元整，超过认购起点部分，应为〖1〗元的整数倍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〖H份额〗起点〖1〗元整，超过认购起点部分，应为〖1〗元的整数倍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〖I份额〗起点〖1〗元整，超过认购起点部分，应为〖1〗元的整数倍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〖J份额〗起点〖1〗元整，超过认购起点部分，应为〖1〗元的整数倍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〖K份额〗起点〖1〗元整，超过认购起点部分，应为〖1〗元的整数倍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〖L份额〗起点〖1〗元整，超过认购起点部分，应为〖1〗元的整数倍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〖N份额〗起点〖1〗元整，超过认购起点部分，应为〖1〗元的整数倍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〖P份额〗起点〖1〗元整，超过认购起点部分，应为〖1〗元的整数倍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〖Q份额〗起点〖10000〗元整，超过认购起点部分，应为〖1〗元的整数倍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〖R份额〗起点〖1〗元整，超过认购起点部分，应为〖1〗元的整数倍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〖S份额〗起点〖1〗元整，超过认购起点部分，应为〖1〗元的整数倍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〖U份额〗起点〖100000〗元整，超过认购起点部分，应为〖1〗元的整数倍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〖V份额〗起点〖1000000〗元整，超过认购起点部分，应为〖1〗元的整数倍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〖W份额〗起点〖1〗元整，超过认购起点部分，应为〖1〗元的整数倍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〖X份额〗起点〖1〗元整，超过认购起点部分，应为〖1〗元的整数倍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〖Y份额〗起点〖1〗元整，超过认购起点部分，应为〖1〗元的整数倍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〖Z份额〗起点〖1〗元整，超过认购起点部分，应为〖1〗元的整数倍</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524"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认购份额</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认购份额=认购金额÷1元。认购份额保留至0.01份理财产品份额，小数点后两位以下四舍五入。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产品成立</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为保护投资者利益，管理人可根据市场变化情况或法定节假日调整缩短或延长认购期并提前或推迟成立，理财计划提前或推迟成立时管理人将调整相关日期并进行信息披露。理财计划最终规模以实际认购规模为准。如果理财计划认购规模低于</w:t>
            </w:r>
            <w:r>
              <w:rPr>
                <w:rFonts w:hint="eastAsia" w:ascii="宋体" w:hAnsi="宋体" w:eastAsia="宋体" w:cs="宋体"/>
                <w:kern w:val="2"/>
                <w:sz w:val="21"/>
                <w:szCs w:val="21"/>
                <w:highlight w:val="none"/>
                <w:lang w:val="en-US" w:eastAsia="zh-CN" w:bidi="ar-SA"/>
              </w:rPr>
              <w:t>〖3000〗</w:t>
            </w:r>
            <w:r>
              <w:rPr>
                <w:rFonts w:hint="eastAsia" w:ascii="宋体" w:hAnsi="宋体" w:eastAsia="宋体" w:cs="宋体"/>
                <w:color w:val="000000"/>
                <w:kern w:val="2"/>
                <w:sz w:val="21"/>
                <w:szCs w:val="21"/>
                <w:highlight w:val="none"/>
                <w:lang w:val="en-US" w:eastAsia="zh-CN" w:bidi="ar-SA"/>
              </w:rPr>
              <w:t>万元，则管理人可宣布本理财计划不成立并在原定理财计划成立日后</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2</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个工作日内通过管理人或销售机构发布不成立信息，投资者购买的理财资金将在原定成立日后2个工作日内划转至投资者指定理财账户，</w:t>
            </w:r>
            <w:r>
              <w:rPr>
                <w:rFonts w:hint="eastAsia" w:ascii="宋体" w:hAnsi="宋体" w:eastAsia="宋体" w:cs="宋体"/>
                <w:b/>
                <w:color w:val="000000"/>
                <w:kern w:val="2"/>
                <w:sz w:val="21"/>
                <w:szCs w:val="21"/>
                <w:highlight w:val="none"/>
                <w:lang w:val="en-US" w:eastAsia="zh-CN" w:bidi="ar-SA"/>
              </w:rPr>
              <w:t>该理财资金在原定成立日至资金到账日之间不计利息。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单户限额</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单户持有份额不得超过理财计划总份额的50%。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单位净值</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单位净值=理财计划估值日理财计划总净值÷理财计划总份额，单位净值保留小数点后四位，四舍五入。</w:t>
            </w:r>
          </w:p>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理财计划总净值=理财计划认购总额+理财计划所获总收益-理财计划总费用（包括但不限于固定管理费、托管费、销售服务费、浮动管理费等）。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资金与收益支付方式</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理财计划到期后，最快</w:t>
            </w:r>
            <w:r>
              <w:rPr>
                <w:rFonts w:hint="eastAsia" w:ascii="宋体" w:hAnsi="宋体" w:eastAsia="宋体" w:cs="宋体"/>
                <w:kern w:val="2"/>
                <w:sz w:val="21"/>
                <w:szCs w:val="21"/>
                <w:highlight w:val="none"/>
                <w:lang w:val="en-US" w:eastAsia="zh-CN" w:bidi="ar-SA"/>
              </w:rPr>
              <w:t>〖1〗</w:t>
            </w:r>
            <w:r>
              <w:rPr>
                <w:rFonts w:hint="eastAsia" w:ascii="宋体" w:hAnsi="宋体" w:eastAsia="宋体" w:cs="宋体"/>
                <w:color w:val="000000"/>
                <w:kern w:val="2"/>
                <w:sz w:val="21"/>
                <w:szCs w:val="21"/>
                <w:highlight w:val="none"/>
                <w:lang w:val="en-US" w:eastAsia="zh-CN" w:bidi="ar-SA"/>
              </w:rPr>
              <w:t>个工作日，最晚</w:t>
            </w:r>
            <w:r>
              <w:rPr>
                <w:rFonts w:hint="eastAsia" w:ascii="宋体" w:hAnsi="宋体" w:eastAsia="宋体" w:cs="宋体"/>
                <w:kern w:val="2"/>
                <w:sz w:val="21"/>
                <w:szCs w:val="21"/>
                <w:highlight w:val="none"/>
                <w:lang w:val="en-US" w:eastAsia="zh-CN" w:bidi="ar-SA"/>
              </w:rPr>
              <w:t>〖3〗</w:t>
            </w:r>
            <w:r>
              <w:rPr>
                <w:rFonts w:hint="eastAsia" w:ascii="宋体" w:hAnsi="宋体" w:eastAsia="宋体" w:cs="宋体"/>
                <w:color w:val="000000"/>
                <w:kern w:val="2"/>
                <w:sz w:val="21"/>
                <w:szCs w:val="21"/>
                <w:highlight w:val="none"/>
                <w:lang w:val="en-US" w:eastAsia="zh-CN" w:bidi="ar-SA"/>
              </w:rPr>
              <w:t>个工作日内（遇节假日顺延）支付。如遇资金在途或法定工作日调整，实际资金到账日以公告为准。</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业绩比较基准</w:t>
            </w:r>
          </w:p>
        </w:tc>
        <w:tc>
          <w:tcPr>
            <w:tcW w:w="7185" w:type="dxa"/>
            <w:noWrap w:val="0"/>
            <w:vAlign w:val="center"/>
          </w:tcPr>
          <w:p>
            <w:pPr>
              <w:widowControl/>
              <w:spacing w:line="360" w:lineRule="auto"/>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本理财计划〖A份额〗业绩比较基准为〖2.40%-2.70%〗（年化）。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本理财计划〖B份额〗业绩比较基准为〖2.50%-2.80%〗（年化）。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本理财计划〖C份额〗业绩比较基准为〖2.60%-2.90%〗（年化）。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本理财计划〖D份额〗业绩比较基准为〖2.55%-2.85%〗（年化）。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本理财计划〖E份额〗业绩比较基准为〖2.25%-2.55%〗（年化）。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本理财计划〖F份额〗业绩比较基准为〖2.55%-2.85%〗（年化）。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本理财计划〖G份额〗业绩比较基准为〖2.65%-2.95%〗（年化）。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本理财计划〖H份额〗业绩比较基准为〖2.50%-2.80%〗（年化）。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本理财计划〖I份额〗业绩比较基准为〖2.40%-2.70%〗（年化）。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本理财计划〖J份额〗业绩比较基准为〖2.65%-2.95%〗（年化）。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本理财计划〖K份额〗业绩比较基准为〖2.40%-2.70%〗（年化）。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本理财计划〖L份额〗业绩比较基准为〖2.60%-2.90%〗（年化）。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本理财计划〖N份额〗业绩比较基准为〖2.50%-2.80%〗（年化）。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本理财计划〖P份额〗业绩比较基准为〖2.55%-2.85%〗（年化）。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本理财计划〖Q份额〗业绩比较基准为〖2.60%-2.90%〗（年化）。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本理财计划〖R份额〗业绩比较基准为〖2.55%-2.85%〗（年化）。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本理财计划〖S份额〗业绩比较基准为〖2.56%-2.86%〗（年化）。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本理财计划〖U份额〗业绩比较基准为〖2.50%-2.80%〗（年化）。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本理财计划〖V份额〗业绩比较基准为〖2.60%-2.90%〗（年化）。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本理财计划〖W份额〗业绩比较基准为〖2.40%-2.70%〗（年化）。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本理财计划〖X份额〗业绩比较基准为〖2.65%-2.95%〗（年化）。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本理财计划〖Y份额〗业绩比较基准为〖2.50%-2.80%〗（年化）。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本理财计划〖Z份额〗业绩比较基准为〖2.60%-2.90%〗（年化）。</w:t>
            </w:r>
          </w:p>
          <w:p>
            <w:pPr>
              <w:widowControl/>
              <w:spacing w:line="360" w:lineRule="auto"/>
              <w:jc w:val="left"/>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业绩基准测算依据：本理财计划重点投资于货币市场工具、债券、非标准化债权类资产等资产，管理人根据固定收益市场历史表现，结合当前利率水平、资产配比及市场同类型产品情况，经综合判断得出。</w:t>
            </w:r>
          </w:p>
          <w:p>
            <w:pPr>
              <w:widowControl/>
              <w:spacing w:line="360" w:lineRule="auto"/>
              <w:jc w:val="left"/>
              <w:rPr>
                <w:rFonts w:hint="eastAsia" w:ascii="宋体" w:hAnsi="宋体" w:eastAsia="宋体" w:cs="宋体"/>
                <w:b/>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管理人有权根据市场情况及理财计划运作情况调整业绩基准，并至少于新业绩基准启用前</w:t>
            </w:r>
            <w:r>
              <w:rPr>
                <w:rFonts w:hint="eastAsia" w:ascii="宋体" w:hAnsi="宋体" w:eastAsia="宋体" w:cs="宋体"/>
                <w:kern w:val="0"/>
                <w:sz w:val="21"/>
                <w:szCs w:val="24"/>
                <w:highlight w:val="none"/>
                <w:lang w:val="en-US" w:eastAsia="zh-CN" w:bidi="ar-SA"/>
              </w:rPr>
              <w:t>〖2〗</w:t>
            </w:r>
            <w:r>
              <w:rPr>
                <w:rFonts w:hint="eastAsia" w:ascii="宋体" w:hAnsi="宋体" w:eastAsia="宋体" w:cs="宋体"/>
                <w:kern w:val="2"/>
                <w:sz w:val="21"/>
                <w:szCs w:val="21"/>
                <w:highlight w:val="none"/>
                <w:lang w:val="en-US" w:eastAsia="zh-CN" w:bidi="ar-SA"/>
              </w:rPr>
              <w:t>个工作日公告。</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t>本理财计划为净值型理财产品，其业绩表现将随市场波动具有不确定性。本公司提醒投资者关注，业绩比较基准不是预期收益率，并不代表理财计划的未来表现和实际收益率，不构成对理财计划收益的承诺。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产品费用</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1.销售服务费：〖A份额〗收取年化〖0.30%〗的销售服务费, 〖B份额〗收取年化〖0.20%〗的销售服务费, 〖C份额〗收取年化〖0.10%〗的销售服务费, 〖D份额〗收取年化〖0.15%〗的销售服务费, 〖E份额〗收取年化〖0.40%〗的销售服务费, 〖F份额〗收取年化〖0.15%〗的销售服务费, 〖G份额〗收取年化〖0.05%〗的销售服务费, 〖H份额〗收取年化〖0.20%〗的销售服务费, 〖I份额〗收取年化〖0.30%〗的销售服务费, 〖J份额〗收取年化〖0.05%〗的销售服务费, 〖K份额〗收取年化〖0.30%〗的销售服务费, 〖L份额〗收取年化〖0.10%〗的销售服务费, 〖N份额〗收取年化〖0.20%〗的销售服务费, 〖P份额〗收取年化〖0.15%〗的销售服务费, 〖Q份额〗收取年化〖0.10%〗的销售服务费, 〖R份额〗收取年化〖0.15%〗的销售服务费, 〖S份额〗收取年化〖0.15%〗的销售服务费, 〖U份额〗收取年化〖0.20%〗的销售服务费, 〖V份额〗收取年化〖0.10%〗的销售服务费, 〖W份额〗收取年化〖0.30%〗的销售服务费, 〖X份额〗收取年化〖0.05%〗的销售服务费, 〖Y份额〗收取年化〖0.20%〗的销售服务费, 〖Z份额〗收取年化〖0.10%〗的销售服务费。其中〖A份额〗、〖B份额〗、〖C份额〗、〖D份额〗、〖E份额〗、〖F份额〗、〖G份额〗、〖H份额〗、〖I份额〗、〖J份额〗、〖K份额〗、〖L份额〗、〖P份额〗、〖V份额〗、〖X份额〗对应份额每日计提销售服务费；〖N份额〗、〖Q份额〗、〖R份额〗、〖S份额〗、〖U份额〗、〖W份额〗、〖Y份额〗、〖Z份额〗对应份额销售服务费于产品成立日一次性收取。</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2.托管费：收取年化</w:t>
            </w:r>
            <w:r>
              <w:rPr>
                <w:rFonts w:hint="eastAsia" w:ascii="宋体" w:hAnsi="宋体" w:eastAsia="宋体" w:cs="宋体"/>
                <w:kern w:val="2"/>
                <w:sz w:val="21"/>
                <w:szCs w:val="21"/>
                <w:highlight w:val="none"/>
                <w:lang w:val="en-US" w:eastAsia="zh-CN" w:bidi="ar-SA"/>
              </w:rPr>
              <w:t>〖0.025%〗</w:t>
            </w:r>
            <w:r>
              <w:rPr>
                <w:rFonts w:hint="eastAsia" w:ascii="宋体" w:hAnsi="宋体" w:eastAsia="宋体" w:cs="宋体"/>
                <w:color w:val="000000"/>
                <w:kern w:val="2"/>
                <w:sz w:val="21"/>
                <w:szCs w:val="21"/>
                <w:highlight w:val="none"/>
                <w:lang w:val="en-US" w:eastAsia="zh-CN" w:bidi="ar-SA"/>
              </w:rPr>
              <w:t>的托管费。</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3.固定管理费：〖A份额〗收取年化〖0.05%〗的固定管理费, 〖B份额〗收取年化〖0.05%〗的固定管理费, 〖C份额〗收取年化〖0.05%〗的固定管理费, 〖D份额〗收取年化〖0.05%〗的固定管理费, 〖E份额〗收取年化〖0.10%〗的固定管理费, 〖F份额〗收取年化〖0.05%〗的固定管理费, 〖G份额〗收取年化〖0.05%〗的固定管理费, 〖H份额〗收取年化〖0.05%〗的固定管理费, 〖I份额〗收取年化〖0.05%〗的固定管理费, 〖J份额〗收取年化〖0.05%〗的固定管理费, 〖K份额〗收取年化〖0.05%〗的固定管理费, 〖L份额〗收取年化〖0.05%〗的固定管理费, 〖N份额〗收取年化〖0.05%〗的固定管理费, 〖P份额〗收取年化〖0.05%〗的固定管理费, 〖Q份额〗收取年化〖0.05%〗的固定管理费, 〖R份额〗收取年化〖0.05%〗的固定管理费, 〖S份额〗收取年化〖0.04%〗的固定管理费, 〖U份额〗收取年化〖0.05%〗的固定管理费, 〖V份额〗收取年化〖0.05%〗的固定管理费, 〖W份额〗收取年化〖0.05%〗的固定管理费, 〖X份额〗收取年化〖0.05%〗的固定管理费, 〖Y份额〗收取年化〖0.05%〗的固定管理费, 〖Z份额〗收取年化〖0.05%〗的固定管理费。</w:t>
            </w:r>
          </w:p>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4.认购费：本理财计划免除认购费。</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5.浮动管理费：管理人根据理财计划投资情况计算浮动管理费，本理财计划份额到期日（提前终止日）的折合年化收益率在〖业绩比较基准下限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至上限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〖50%〗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,在超过〖</w:t>
            </w:r>
            <w:r>
              <w:rPr>
                <w:rFonts w:hint="eastAsia" w:ascii="宋体" w:hAnsi="宋体" w:eastAsia="宋体" w:cs="宋体"/>
                <w:b w:val="0"/>
                <w:bCs/>
                <w:kern w:val="2"/>
                <w:sz w:val="21"/>
                <w:szCs w:val="21"/>
                <w:highlight w:val="none"/>
                <w:lang w:val="en-US" w:eastAsia="zh-CN" w:bidi="ar-SA"/>
              </w:rPr>
              <w:t>业绩比较基准上限</w:t>
            </w:r>
            <w:r>
              <w:rPr>
                <w:rFonts w:hint="eastAsia" w:ascii="宋体" w:hAnsi="宋体" w:eastAsia="宋体" w:cs="宋体"/>
                <w:b w:val="0"/>
                <w:bCs/>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〖80%〗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提前终止</w:t>
            </w:r>
          </w:p>
        </w:tc>
        <w:tc>
          <w:tcPr>
            <w:tcW w:w="7185" w:type="dxa"/>
            <w:noWrap w:val="0"/>
            <w:vAlign w:val="center"/>
          </w:tcPr>
          <w:p>
            <w:pPr>
              <w:widowControl/>
              <w:spacing w:line="360" w:lineRule="auto"/>
              <w:contextualSpacing/>
              <w:jc w:val="both"/>
              <w:rPr>
                <w:rFonts w:hint="eastAsia" w:ascii="宋体" w:hAnsi="宋体" w:eastAsia="宋体" w:cs="宋体"/>
                <w:b/>
                <w:color w:val="000000"/>
                <w:kern w:val="0"/>
                <w:sz w:val="21"/>
                <w:szCs w:val="21"/>
                <w:highlight w:val="none"/>
                <w:lang w:val="en-US" w:eastAsia="zh-CN" w:bidi="ar-SA"/>
              </w:rPr>
            </w:pPr>
            <w:r>
              <w:rPr>
                <w:rFonts w:hint="eastAsia" w:ascii="宋体" w:hAnsi="宋体" w:eastAsia="宋体" w:cs="宋体"/>
                <w:b/>
                <w:color w:val="000000"/>
                <w:kern w:val="0"/>
                <w:sz w:val="21"/>
                <w:szCs w:val="21"/>
                <w:highlight w:val="none"/>
                <w:lang w:val="en-US" w:eastAsia="zh-CN" w:bidi="ar-SA"/>
              </w:rPr>
              <w:t>如遇国家金融政策出现重大调整并影响到本理财计划的正常运行的、市场收益率大幅波动可能或实质影响理财计划收益等情况，管理人有权提前终止本理财计划。具体参见说明书“交易规则”部分。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税费规定</w:t>
            </w:r>
          </w:p>
        </w:tc>
        <w:tc>
          <w:tcPr>
            <w:tcW w:w="7185" w:type="dxa"/>
            <w:noWrap w:val="0"/>
            <w:vAlign w:val="center"/>
          </w:tcPr>
          <w:p>
            <w:pPr>
              <w:widowControl w:val="0"/>
              <w:spacing w:line="360" w:lineRule="auto"/>
              <w:jc w:val="both"/>
              <w:outlineLvl w:val="0"/>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财产在管理、运用、处分过程中产生的税费（包括但不限于增值税及相应的附加税费等），由理财计划财产承担；管理人对该等税费无垫付义务。前述税费（包括但不限于增值税及相应附加税费）的计算、提取及缴纳，由管理人按照应税行为发生时有效的相关法律法规的规定执行。</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支付给投资者的理财收益的应纳税款由投资者自行申报及缴纳。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融资服务</w:t>
            </w:r>
          </w:p>
        </w:tc>
        <w:tc>
          <w:tcPr>
            <w:tcW w:w="7185" w:type="dxa"/>
            <w:noWrap w:val="0"/>
            <w:vAlign w:val="bottom"/>
          </w:tcPr>
          <w:p>
            <w:pPr>
              <w:widowControl w:val="0"/>
              <w:spacing w:line="360" w:lineRule="auto"/>
              <w:jc w:val="both"/>
              <w:rPr>
                <w:rFonts w:hint="eastAsia" w:ascii="宋体" w:hAnsi="宋体" w:eastAsia="宋体" w:cs="宋体"/>
                <w:b/>
                <w:color w:val="000000"/>
                <w:kern w:val="0"/>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投资者在理财期限内不能提前赎回，如需质押按销售机构相关规定执行。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75" w:hRule="atLeast"/>
        </w:trPr>
        <w:tc>
          <w:tcPr>
            <w:tcW w:w="168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其他规定</w:t>
            </w:r>
          </w:p>
        </w:tc>
        <w:tc>
          <w:tcPr>
            <w:tcW w:w="718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认购期内按照活期存款利率计息，认购期内的利息不计入认购本金份额。到期日（或理财计划实际终止日）到理财资金返还到账日为清算期，清算期内不计付利息。</w:t>
            </w:r>
            <w:r>
              <w:rPr>
                <w:rFonts w:hint="eastAsia" w:ascii="宋体" w:hAnsi="宋体" w:eastAsia="宋体" w:cs="宋体"/>
                <w:color w:val="000000"/>
                <w:kern w:val="0"/>
                <w:sz w:val="21"/>
                <w:szCs w:val="21"/>
                <w:highlight w:val="none"/>
                <w:lang w:val="en-US" w:eastAsia="zh-CN" w:bidi="ar-SA"/>
              </w:rPr>
              <w:t>（具体以销售机构规定为准）</w:t>
            </w:r>
          </w:p>
          <w:p>
            <w:pPr>
              <w:widowControl w:val="0"/>
              <w:spacing w:line="360" w:lineRule="auto"/>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管理人有权根据市场情况和本理财计划运作情况，对本理财计划的收费项目、条件、标准和方式进行调整。</w:t>
            </w:r>
          </w:p>
        </w:tc>
      </w:tr>
    </w:tbl>
    <w:p>
      <w:pPr>
        <w:spacing w:line="360" w:lineRule="auto"/>
        <w:rPr>
          <w:rFonts w:hint="eastAsia" w:ascii="宋体" w:hAnsi="宋体" w:cs="宋体"/>
          <w:b/>
          <w:color w:val="000000"/>
          <w:sz w:val="24"/>
          <w:highlight w:val="none"/>
        </w:rPr>
      </w:pPr>
      <w:r>
        <w:rPr>
          <w:rFonts w:hint="eastAsia" w:ascii="宋体" w:hAnsi="宋体"/>
          <w:b/>
          <w:color w:val="000000"/>
          <w:sz w:val="24"/>
          <w:highlight w:val="none"/>
        </w:rPr>
        <w:t>特别说明：</w:t>
      </w:r>
      <w:r>
        <w:rPr>
          <w:rFonts w:hint="eastAsia" w:ascii="宋体" w:hAnsi="宋体" w:cs="宋体"/>
          <w:b/>
          <w:color w:val="000000"/>
          <w:sz w:val="24"/>
          <w:highlight w:val="none"/>
        </w:rPr>
        <w:t>本理财计划属于净值型理财产品，投资须谨慎。管理人对理财本金及收益不提供保证承诺，请投资者基于自身的独立判断进行投资决策。</w:t>
      </w:r>
    </w:p>
    <w:p>
      <w:pPr>
        <w:spacing w:line="360" w:lineRule="auto"/>
        <w:rPr>
          <w:rFonts w:hint="eastAsia" w:ascii="宋体" w:hAnsi="宋体" w:cs="宋体"/>
          <w:b/>
          <w:color w:val="000000"/>
          <w:sz w:val="24"/>
          <w:highlight w:val="none"/>
        </w:rPr>
      </w:pPr>
    </w:p>
    <w:p>
      <w:pPr>
        <w:numPr>
          <w:ilvl w:val="0"/>
          <w:numId w:val="11"/>
        </w:numPr>
        <w:spacing w:line="360" w:lineRule="auto"/>
        <w:outlineLvl w:val="1"/>
        <w:rPr>
          <w:rFonts w:hint="eastAsia" w:ascii="宋体" w:hAnsi="宋体" w:cs="宋体"/>
          <w:b/>
          <w:color w:val="000000"/>
          <w:sz w:val="24"/>
          <w:highlight w:val="none"/>
        </w:rPr>
      </w:pPr>
      <w:r>
        <w:rPr>
          <w:rFonts w:hint="eastAsia" w:ascii="宋体" w:hAnsi="宋体" w:cs="宋体"/>
          <w:b/>
          <w:color w:val="000000"/>
          <w:sz w:val="24"/>
          <w:highlight w:val="none"/>
        </w:rPr>
        <w:t>投资管理</w:t>
      </w:r>
    </w:p>
    <w:p>
      <w:pPr>
        <w:numPr>
          <w:ilvl w:val="0"/>
          <w:numId w:val="0"/>
        </w:numPr>
        <w:spacing w:line="360" w:lineRule="auto"/>
        <w:ind w:firstLine="480" w:firstLineChars="200"/>
        <w:jc w:val="left"/>
        <w:outlineLvl w:val="9"/>
        <w:rPr>
          <w:rFonts w:hint="eastAsia" w:ascii="宋体" w:hAnsi="宋体" w:cs="宋体"/>
          <w:b w:val="0"/>
          <w:bCs/>
          <w:color w:val="auto"/>
          <w:sz w:val="24"/>
          <w:highlight w:val="none"/>
        </w:rPr>
      </w:pPr>
      <w:r>
        <w:rPr>
          <w:rFonts w:hint="eastAsia" w:ascii="宋体" w:hAnsi="宋体" w:cs="宋体"/>
          <w:bCs/>
          <w:color w:val="auto"/>
          <w:kern w:val="2"/>
          <w:sz w:val="24"/>
          <w:highlight w:val="none"/>
        </w:rPr>
        <w:t>本理财计划自成立日起</w:t>
      </w:r>
      <w:r>
        <w:rPr>
          <w:rFonts w:hint="eastAsia" w:ascii="宋体" w:hAnsi="宋体" w:cs="宋体"/>
          <w:bCs/>
          <w:sz w:val="24"/>
          <w:highlight w:val="none"/>
        </w:rPr>
        <w:t>〖</w:t>
      </w:r>
      <w:r>
        <w:rPr>
          <w:rFonts w:hint="eastAsia" w:ascii="宋体" w:hAnsi="宋体" w:cs="宋体"/>
          <w:bCs/>
          <w:color w:val="auto"/>
          <w:kern w:val="2"/>
          <w:sz w:val="24"/>
          <w:highlight w:val="none"/>
          <w:lang w:val="en-US" w:eastAsia="zh-CN"/>
        </w:rPr>
        <w:t>1个月</w:t>
      </w:r>
      <w:r>
        <w:rPr>
          <w:rFonts w:hint="eastAsia" w:ascii="宋体" w:hAnsi="宋体" w:cs="宋体"/>
          <w:bCs/>
          <w:sz w:val="24"/>
          <w:highlight w:val="none"/>
        </w:rPr>
        <w:t>〗</w:t>
      </w:r>
      <w:r>
        <w:rPr>
          <w:rFonts w:hint="eastAsia" w:ascii="宋体" w:hAnsi="宋体" w:cs="宋体"/>
          <w:bCs/>
          <w:color w:val="auto"/>
          <w:kern w:val="2"/>
          <w:sz w:val="24"/>
          <w:highlight w:val="none"/>
        </w:rPr>
        <w:t>为建仓期，管理人应当在建仓期结束前使各项投资比例符合约定。</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投资范围</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本理财计划主要投资于符合监管要求的各类资产：</w:t>
      </w:r>
    </w:p>
    <w:p>
      <w:pPr>
        <w:numPr>
          <w:ilvl w:val="0"/>
          <w:numId w:val="13"/>
        </w:numPr>
        <w:spacing w:line="360" w:lineRule="auto"/>
        <w:jc w:val="left"/>
        <w:rPr>
          <w:rFonts w:hint="eastAsia" w:ascii="宋体" w:hAnsi="宋体" w:cs="宋体"/>
          <w:bCs/>
          <w:sz w:val="24"/>
          <w:highlight w:val="none"/>
        </w:rPr>
      </w:pPr>
      <w:r>
        <w:rPr>
          <w:rFonts w:hint="eastAsia" w:ascii="宋体" w:hAnsi="宋体" w:cs="宋体"/>
          <w:bCs/>
          <w:sz w:val="24"/>
          <w:highlight w:val="none"/>
        </w:rPr>
        <w:t>固定收益类资产：包括但不限于各类债券、存款、货币市场金融工具、债券基金、质押式及买断式回购、非标准化债权类资产，其他符合监管要求的固定收益类资产及资产管理产品。</w:t>
      </w:r>
    </w:p>
    <w:p>
      <w:pPr>
        <w:numPr>
          <w:ilvl w:val="0"/>
          <w:numId w:val="13"/>
        </w:numPr>
        <w:spacing w:line="360" w:lineRule="auto"/>
        <w:jc w:val="left"/>
        <w:rPr>
          <w:rFonts w:hint="eastAsia" w:ascii="宋体" w:hAnsi="宋体" w:cs="宋体"/>
          <w:bCs/>
          <w:sz w:val="24"/>
          <w:highlight w:val="none"/>
        </w:rPr>
      </w:pPr>
      <w:r>
        <w:rPr>
          <w:rFonts w:hint="eastAsia" w:ascii="宋体" w:hAnsi="宋体" w:cs="宋体"/>
          <w:bCs/>
          <w:sz w:val="24"/>
          <w:highlight w:val="none"/>
        </w:rPr>
        <w:t>权益类资产：</w:t>
      </w:r>
      <w:r>
        <w:rPr>
          <w:rFonts w:hint="eastAsia" w:ascii="宋体" w:hAnsi="宋体" w:cs="宋体"/>
          <w:bCs/>
          <w:color w:val="auto"/>
          <w:kern w:val="2"/>
          <w:sz w:val="24"/>
          <w:highlight w:val="none"/>
          <w:lang w:val="en-US" w:eastAsia="zh-CN"/>
        </w:rPr>
        <w:t>仅限境内发行优先股和永续债。</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投资比例</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本理财计划各投资资产占</w:t>
      </w:r>
      <w:r>
        <w:rPr>
          <w:rFonts w:hint="eastAsia" w:ascii="宋体" w:hAnsi="宋体" w:cs="宋体"/>
          <w:bCs/>
          <w:sz w:val="24"/>
          <w:highlight w:val="none"/>
          <w:lang w:eastAsia="zh-CN"/>
        </w:rPr>
        <w:t>总</w:t>
      </w:r>
      <w:r>
        <w:rPr>
          <w:rFonts w:hint="eastAsia" w:ascii="宋体" w:hAnsi="宋体" w:cs="宋体"/>
          <w:bCs/>
          <w:sz w:val="24"/>
          <w:highlight w:val="none"/>
        </w:rPr>
        <w:t>资产的配置比例如下：</w:t>
      </w:r>
      <w:r>
        <w:rPr>
          <w:rFonts w:hint="eastAsia" w:ascii="宋体" w:hAnsi="宋体" w:cs="宋体"/>
          <w:bCs/>
          <w:color w:val="FF0000"/>
          <w:sz w:val="24"/>
          <w:highlight w:val="none"/>
        </w:rPr>
        <w:t xml:space="preserve"> </w:t>
      </w:r>
    </w:p>
    <w:tbl>
      <w:tblPr>
        <w:tblStyle w:val="8"/>
        <w:tblW w:w="829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790"/>
        <w:gridCol w:w="4716"/>
        <w:gridCol w:w="17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投资资产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配置比例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vMerge w:val="restart"/>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大类资产类型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固定收益类资产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90%-100%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vMerge w:val="continue"/>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大类资产类型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权益类资产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0%-10%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特殊资产类型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非标准化债权类资产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0%-50%</w:t>
            </w:r>
          </w:p>
        </w:tc>
      </w:tr>
    </w:tbl>
    <w:p>
      <w:pPr>
        <w:pStyle w:val="14"/>
        <w:numPr>
          <w:ilvl w:val="0"/>
          <w:numId w:val="14"/>
        </w:numPr>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lang w:val="en-US" w:eastAsia="zh-CN"/>
        </w:rPr>
        <w:t>本理财计划特殊资产类型为基于大类资产类型项下的进一步细化分类，其配置比例不得超过大类资产配置比例。</w:t>
      </w:r>
    </w:p>
    <w:p>
      <w:pPr>
        <w:pStyle w:val="14"/>
        <w:numPr>
          <w:ilvl w:val="0"/>
          <w:numId w:val="14"/>
        </w:numPr>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rPr>
        <w:t>在理财计划存续期间如遇市场变化导致各类投资品投资比例暂时超出以上范围，为保护投资者利益，管理人将在流动性受限资产可出售、可转让或者恢复交易的15个交易日内调整至上述比例范围。</w:t>
      </w:r>
    </w:p>
    <w:p>
      <w:pPr>
        <w:pStyle w:val="14"/>
        <w:numPr>
          <w:ilvl w:val="0"/>
          <w:numId w:val="14"/>
        </w:numPr>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lang w:val="en-US" w:eastAsia="zh-CN"/>
        </w:rPr>
        <w:t>当出现金融市场发生重大变化、理财计划出现大比例规模变化等情况，为保护投资者利益，管理人有权根据市场情况超出约定比例范围投资较低风险资产。</w:t>
      </w:r>
    </w:p>
    <w:p>
      <w:pPr>
        <w:pStyle w:val="14"/>
        <w:numPr>
          <w:ilvl w:val="0"/>
          <w:numId w:val="14"/>
        </w:numPr>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lang w:val="en-US" w:eastAsia="zh-CN"/>
        </w:rPr>
        <w:t>本理财计划存在投资退出期，投资退出期至理财计划到期终止期间，为保障投资管理平稳运作，投资组合比例可能超出约定投资范围比例。</w:t>
      </w:r>
    </w:p>
    <w:p>
      <w:pPr>
        <w:pStyle w:val="14"/>
        <w:numPr>
          <w:ilvl w:val="0"/>
          <w:numId w:val="14"/>
        </w:numPr>
        <w:adjustRightInd/>
        <w:spacing w:line="360" w:lineRule="auto"/>
        <w:ind w:firstLine="458" w:firstLineChars="190"/>
        <w:rPr>
          <w:rFonts w:ascii="宋体" w:hAnsi="宋体" w:cs="宋体"/>
          <w:b/>
          <w:bCs w:val="0"/>
          <w:color w:val="auto"/>
          <w:kern w:val="2"/>
          <w:highlight w:val="none"/>
        </w:rPr>
      </w:pPr>
      <w:r>
        <w:rPr>
          <w:rFonts w:hint="eastAsia" w:ascii="宋体" w:hAnsi="宋体" w:cs="宋体"/>
          <w:b/>
          <w:bCs w:val="0"/>
          <w:color w:val="auto"/>
          <w:kern w:val="2"/>
          <w:highlight w:val="none"/>
          <w:lang w:val="en-US" w:eastAsia="zh-CN"/>
        </w:rPr>
        <w:t>本理财计划可以投资不存在活跃交易市场并且需要采用估值技术确定公允价值的资产，上述资产比例可以达到理财计划净资产的50%以上。</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投资策略</w:t>
      </w:r>
    </w:p>
    <w:p>
      <w:pPr>
        <w:pStyle w:val="14"/>
        <w:numPr>
          <w:ilvl w:val="0"/>
          <w:numId w:val="15"/>
        </w:numPr>
        <w:adjustRightInd/>
        <w:spacing w:line="360" w:lineRule="auto"/>
        <w:rPr>
          <w:rFonts w:hint="eastAsia" w:ascii="宋体" w:hAnsi="宋体" w:cs="宋体"/>
          <w:bCs/>
          <w:color w:val="auto"/>
          <w:kern w:val="2"/>
          <w:highlight w:val="none"/>
        </w:rPr>
      </w:pPr>
      <w:r>
        <w:rPr>
          <w:rFonts w:hint="eastAsia" w:ascii="宋体" w:hAnsi="宋体" w:cs="宋体"/>
          <w:bCs/>
          <w:color w:val="auto"/>
          <w:kern w:val="2"/>
          <w:highlight w:val="none"/>
        </w:rPr>
        <w:t>资产配置策略</w:t>
      </w:r>
    </w:p>
    <w:p>
      <w:pPr>
        <w:pStyle w:val="14"/>
        <w:adjustRightInd/>
        <w:spacing w:line="360" w:lineRule="auto"/>
        <w:rPr>
          <w:rFonts w:ascii="宋体" w:cs="宋体"/>
          <w:sz w:val="21"/>
          <w:szCs w:val="21"/>
          <w:highlight w:val="none"/>
        </w:rPr>
      </w:pPr>
      <w:r>
        <w:rPr>
          <w:rFonts w:hint="eastAsia" w:ascii="宋体" w:hAnsi="宋体" w:cs="宋体"/>
          <w:bCs/>
          <w:color w:val="auto"/>
          <w:kern w:val="2"/>
          <w:highlight w:val="none"/>
        </w:rPr>
        <w:t xml:space="preserve">    将通过对宏观经济形势、各项国家政策、及证券市场环境的分析来判断经济周期目前的位置，主动判断市场时机进行资产配置，确定在债券、非标准化债权类资产、权益类资产等各类资产上的投资比例。</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债券投资策略</w:t>
      </w:r>
    </w:p>
    <w:p>
      <w:pPr>
        <w:pStyle w:val="14"/>
        <w:adjustRightInd/>
        <w:spacing w:line="360" w:lineRule="auto"/>
        <w:ind w:firstLine="480" w:firstLineChars="200"/>
        <w:rPr>
          <w:rFonts w:hint="eastAsia" w:ascii="宋体" w:hAnsi="宋体" w:cs="宋体"/>
          <w:bCs/>
          <w:highlight w:val="none"/>
        </w:rPr>
      </w:pPr>
      <w:r>
        <w:rPr>
          <w:rFonts w:hint="eastAsia" w:ascii="宋体" w:hAnsi="宋体" w:cs="宋体"/>
          <w:bCs/>
          <w:color w:val="auto"/>
          <w:kern w:val="2"/>
          <w:highlight w:val="none"/>
        </w:rPr>
        <w:t>管理人本着稳健投资的理念，在研究债券市场宏观环境和利率走势的基础上，严格评估信用风险，通过久期策略、骑乘策略、杠杆策略和交易策略等，配置固定收益资产及资产管理产品，力争获取稳定收益。</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非标准化债权类资产投资策略</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管理人发挥自身能力优势，在合规前提下开展风险可控、期限匹配的非标准化债权类资产投资，力争获取稳定收益。</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投资限制</w:t>
      </w:r>
    </w:p>
    <w:p>
      <w:pPr>
        <w:numPr>
          <w:ilvl w:val="0"/>
          <w:numId w:val="0"/>
        </w:numPr>
        <w:spacing w:line="360" w:lineRule="auto"/>
        <w:ind w:left="0" w:firstLine="480" w:firstLineChars="200"/>
        <w:jc w:val="left"/>
        <w:outlineLvl w:val="2"/>
        <w:rPr>
          <w:rFonts w:hint="eastAsia" w:ascii="宋体" w:hAnsi="宋体" w:cs="宋体"/>
          <w:b/>
          <w:sz w:val="24"/>
          <w:highlight w:val="none"/>
        </w:rPr>
      </w:pPr>
      <w:r>
        <w:rPr>
          <w:rFonts w:hint="eastAsia" w:ascii="宋体" w:hAnsi="宋体" w:cs="宋体"/>
          <w:bCs/>
          <w:color w:val="000000"/>
          <w:sz w:val="24"/>
          <w:highlight w:val="none"/>
          <w:lang w:eastAsia="zh-CN"/>
        </w:rPr>
        <w:t>投资限制中列示的资产品种不代表管理人的实际投向，本理财计划投资范围以“投资范围”章节表述为准。</w:t>
      </w:r>
    </w:p>
    <w:p>
      <w:pPr>
        <w:numPr>
          <w:ilvl w:val="0"/>
          <w:numId w:val="17"/>
        </w:numPr>
        <w:spacing w:line="360" w:lineRule="auto"/>
        <w:jc w:val="left"/>
        <w:rPr>
          <w:rFonts w:hint="eastAsia" w:ascii="宋体" w:hAnsi="宋体" w:cs="宋体"/>
          <w:bCs/>
          <w:sz w:val="24"/>
          <w:highlight w:val="none"/>
        </w:rPr>
      </w:pPr>
      <w:r>
        <w:rPr>
          <w:rFonts w:hint="eastAsia" w:ascii="宋体" w:hAnsi="宋体" w:cs="宋体"/>
          <w:bCs/>
          <w:sz w:val="24"/>
          <w:highlight w:val="none"/>
        </w:rPr>
        <w:t>投资集中度限制</w:t>
      </w:r>
    </w:p>
    <w:p>
      <w:pPr>
        <w:numPr>
          <w:ilvl w:val="0"/>
          <w:numId w:val="18"/>
        </w:numPr>
        <w:spacing w:line="360" w:lineRule="auto"/>
        <w:ind w:firstLine="480" w:firstLineChars="200"/>
        <w:jc w:val="left"/>
        <w:rPr>
          <w:rFonts w:hint="eastAsia" w:ascii="宋体" w:hAnsi="宋体" w:cs="宋体"/>
          <w:bCs/>
          <w:sz w:val="24"/>
          <w:highlight w:val="none"/>
        </w:rPr>
      </w:pPr>
      <w:r>
        <w:rPr>
          <w:rFonts w:hint="eastAsia" w:ascii="宋体" w:hAnsi="宋体" w:cs="宋体"/>
          <w:bCs/>
          <w:color w:val="000000"/>
          <w:sz w:val="24"/>
          <w:highlight w:val="none"/>
        </w:rPr>
        <w:t>本理</w:t>
      </w:r>
      <w:r>
        <w:rPr>
          <w:rFonts w:hint="eastAsia" w:ascii="宋体" w:hAnsi="宋体" w:cs="宋体"/>
          <w:bCs/>
          <w:sz w:val="24"/>
          <w:highlight w:val="none"/>
        </w:rPr>
        <w:t>财计划持有单只证券或单只公募</w:t>
      </w:r>
      <w:r>
        <w:fldChar w:fldCharType="begin"/>
      </w:r>
      <w:r>
        <w:rPr>
          <w:rFonts w:ascii="宋体" w:hAnsi="宋体" w:cs="宋体"/>
          <w:bCs/>
          <w:sz w:val="24"/>
          <w:highlight w:val="none"/>
        </w:rPr>
        <w:instrText xml:space="preserve"> HYPERLINK "https://baike.baidu.com/item/%E8%AF%81%E5%88%B8%E6%8A%95%E8%B5%84%E5%9F%BA%E9%87%91/3746" \t "https://baike.baidu.com/item/%E5%95%86%E4%B8%9A%E9%93%B6%E8%A1%8C%E7%90%86%E8%B4%A2%E4%B8%9A%E5%8A%A1%E7%9B%91%E7%9D%A3%E7%AE%A1%E7%90%86%E5%8A%9E%E6%B3%95/_blank" </w:instrText>
      </w:r>
      <w:r>
        <w:fldChar w:fldCharType="separate"/>
      </w:r>
      <w:r>
        <w:rPr>
          <w:rFonts w:ascii="宋体" w:hAnsi="宋体" w:cs="宋体"/>
          <w:bCs/>
          <w:sz w:val="24"/>
          <w:highlight w:val="none"/>
        </w:rPr>
        <w:t>证券投资基金</w:t>
      </w:r>
      <w:r>
        <w:fldChar w:fldCharType="end"/>
      </w:r>
      <w:r>
        <w:rPr>
          <w:rFonts w:ascii="宋体" w:hAnsi="宋体" w:cs="宋体"/>
          <w:bCs/>
          <w:sz w:val="24"/>
          <w:highlight w:val="none"/>
        </w:rPr>
        <w:t>的市值不得超过该理财</w:t>
      </w:r>
      <w:r>
        <w:rPr>
          <w:rFonts w:hint="eastAsia" w:ascii="宋体" w:hAnsi="宋体" w:cs="宋体"/>
          <w:bCs/>
          <w:sz w:val="24"/>
          <w:highlight w:val="none"/>
        </w:rPr>
        <w:t>计划</w:t>
      </w:r>
      <w:r>
        <w:rPr>
          <w:rFonts w:ascii="宋体" w:hAnsi="宋体" w:cs="宋体"/>
          <w:bCs/>
          <w:sz w:val="24"/>
          <w:highlight w:val="none"/>
        </w:rPr>
        <w:t>净资产</w:t>
      </w:r>
      <w:r>
        <w:rPr>
          <w:rFonts w:hint="eastAsia" w:ascii="宋体" w:hAnsi="宋体" w:cs="宋体"/>
          <w:bCs/>
          <w:sz w:val="24"/>
          <w:highlight w:val="none"/>
        </w:rPr>
        <w:t>的</w:t>
      </w:r>
      <w:r>
        <w:rPr>
          <w:rFonts w:ascii="宋体" w:hAnsi="宋体" w:cs="宋体"/>
          <w:bCs/>
          <w:sz w:val="24"/>
          <w:highlight w:val="none"/>
        </w:rPr>
        <w:t>10%</w:t>
      </w:r>
      <w:r>
        <w:rPr>
          <w:rFonts w:hint="eastAsia" w:ascii="宋体" w:hAnsi="宋体" w:cs="宋体"/>
          <w:bCs/>
          <w:sz w:val="24"/>
          <w:highlight w:val="none"/>
        </w:rPr>
        <w:t>。</w:t>
      </w:r>
    </w:p>
    <w:p>
      <w:pPr>
        <w:numPr>
          <w:ilvl w:val="0"/>
          <w:numId w:val="1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管理人发行的全部公募理财计划持有单只证券或单只公募证券投资基金的市值，不得超过该证券市值或该公募证券投资基金市值的30%。</w:t>
      </w:r>
    </w:p>
    <w:p>
      <w:pPr>
        <w:numPr>
          <w:ilvl w:val="0"/>
          <w:numId w:val="1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管理人发行的全部理财计划持有单一上市公司发行的股票，不得超过该上市公司可流通股票的30%。</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国务院银行业监督管理机构另有规定的除外。</w:t>
      </w:r>
    </w:p>
    <w:p>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pPr>
        <w:numPr>
          <w:ilvl w:val="0"/>
          <w:numId w:val="17"/>
        </w:numPr>
        <w:spacing w:line="360" w:lineRule="auto"/>
        <w:jc w:val="left"/>
        <w:rPr>
          <w:rFonts w:hint="eastAsia" w:ascii="宋体" w:hAnsi="宋体" w:cs="宋体"/>
          <w:bCs/>
          <w:sz w:val="24"/>
          <w:highlight w:val="none"/>
        </w:rPr>
      </w:pPr>
      <w:r>
        <w:rPr>
          <w:rFonts w:hint="eastAsia" w:ascii="宋体" w:hAnsi="宋体" w:cs="宋体"/>
          <w:bCs/>
          <w:sz w:val="24"/>
          <w:highlight w:val="none"/>
        </w:rPr>
        <w:t>投资期限限制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本理财计划投资的非标准化债权类资产到期日不得晚于理财计划到期日。</w:t>
      </w:r>
    </w:p>
    <w:p>
      <w:pPr>
        <w:numPr>
          <w:ilvl w:val="0"/>
          <w:numId w:val="17"/>
        </w:numPr>
        <w:spacing w:line="360" w:lineRule="auto"/>
        <w:jc w:val="left"/>
        <w:rPr>
          <w:rFonts w:hint="eastAsia" w:ascii="宋体" w:hAnsi="宋体" w:cs="宋体"/>
          <w:bCs/>
          <w:sz w:val="24"/>
          <w:highlight w:val="none"/>
        </w:rPr>
      </w:pPr>
      <w:r>
        <w:rPr>
          <w:rFonts w:hint="eastAsia" w:ascii="宋体" w:hAnsi="宋体" w:cs="宋体"/>
          <w:bCs/>
          <w:sz w:val="24"/>
          <w:highlight w:val="none"/>
        </w:rPr>
        <w:t>投资杠杆率限制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本理财计划的总资产不得超过净资产的200%。</w:t>
      </w:r>
    </w:p>
    <w:p>
      <w:pPr>
        <w:numPr>
          <w:ilvl w:val="0"/>
          <w:numId w:val="17"/>
        </w:numPr>
        <w:spacing w:line="360" w:lineRule="auto"/>
        <w:jc w:val="left"/>
        <w:rPr>
          <w:rFonts w:hint="eastAsia" w:ascii="宋体" w:hAnsi="宋体" w:cs="宋体"/>
          <w:bCs/>
          <w:sz w:val="24"/>
          <w:highlight w:val="none"/>
        </w:rPr>
      </w:pPr>
      <w:r>
        <w:rPr>
          <w:rFonts w:hint="eastAsia" w:ascii="宋体" w:hAnsi="宋体" w:cs="宋体"/>
          <w:bCs/>
          <w:sz w:val="24"/>
          <w:highlight w:val="none"/>
        </w:rPr>
        <w:t>其他投资限制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本理财计划不得直接投资于信贷资产，不得直接或间接投资于杭州银行信贷资产，不得直接或间接投资于杭州银行或其他银行业金融机构发行的理财产品，不得直接或间接投资于杭州银行发行的次级档信贷</w:t>
      </w:r>
      <w:r>
        <w:fldChar w:fldCharType="begin"/>
      </w:r>
      <w:r>
        <w:rPr>
          <w:rFonts w:ascii="宋体" w:hAnsi="宋体" w:cs="宋体"/>
          <w:bCs/>
          <w:sz w:val="24"/>
          <w:highlight w:val="none"/>
        </w:rPr>
        <w:instrText xml:space="preserve"> HYPERLINK "https://baike.baidu.com/item/%E8%B5%84%E4%BA%A7%E6%94%AF%E6%8C%81%E8%AF%81%E5%88%B8/8989161" \t "https://baike.baidu.com/item/%E5%95%86%E4%B8%9A%E9%93%B6%E8%A1%8C%E7%90%86%E8%B4%A2%E4%B8%9A%E5%8A%A1%E7%9B%91%E7%9D%A3%E7%AE%A1%E7%90%86%E5%8A%9E%E6%B3%95/_blank" </w:instrText>
      </w:r>
      <w:r>
        <w:fldChar w:fldCharType="separate"/>
      </w:r>
      <w:r>
        <w:rPr>
          <w:rFonts w:ascii="宋体" w:hAnsi="宋体" w:cs="宋体"/>
          <w:bCs/>
          <w:sz w:val="24"/>
          <w:highlight w:val="none"/>
        </w:rPr>
        <w:t>资产支持证券</w:t>
      </w:r>
      <w:r>
        <w:fldChar w:fldCharType="end"/>
      </w:r>
      <w:r>
        <w:rPr>
          <w:rFonts w:hint="eastAsia" w:ascii="宋体" w:hAnsi="宋体" w:cs="宋体"/>
          <w:bCs/>
          <w:sz w:val="24"/>
          <w:highlight w:val="none"/>
        </w:rPr>
        <w:t>，不得直接或间接投资于未上市公司股权及其受（收）益权。</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拟投资市场、资产的流动性风险评估</w:t>
      </w:r>
    </w:p>
    <w:p>
      <w:pPr>
        <w:spacing w:line="360" w:lineRule="auto"/>
        <w:ind w:left="420"/>
        <w:jc w:val="left"/>
        <w:rPr>
          <w:rFonts w:hint="eastAsia" w:ascii="宋体" w:hAnsi="宋体" w:cs="宋体"/>
          <w:bCs/>
          <w:sz w:val="24"/>
          <w:highlight w:val="none"/>
        </w:rPr>
      </w:pPr>
      <w:r>
        <w:rPr>
          <w:rFonts w:hint="eastAsia" w:ascii="宋体" w:hAnsi="宋体" w:cs="宋体"/>
          <w:bCs/>
          <w:sz w:val="24"/>
          <w:highlight w:val="none"/>
        </w:rPr>
        <w:t>本理财计划拟投资市场可能面临的流动性风险如下：</w:t>
      </w:r>
    </w:p>
    <w:p>
      <w:pPr>
        <w:numPr>
          <w:ilvl w:val="0"/>
          <w:numId w:val="19"/>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标准化固收类的可能流动性风险：各类债券、存款、货币基金、债券基金、质押式及买断式回购等标准化资产具体规范的交易场所，市场透明度较高，运作方式规范，可支持产品的投资和应对日常申赎的需要。上述资产受限于市场交易活跃度，或当出现风险事件后，可能会难以以合理价格变现，同时市场资金面紧张也可能降低市场参与者的交易意愿，进而带来流动性风险。</w:t>
      </w:r>
    </w:p>
    <w:p>
      <w:pPr>
        <w:numPr>
          <w:ilvl w:val="0"/>
          <w:numId w:val="19"/>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投资于非标准化固定收益类资产的可能流动性风险（如有）：非标准化固定收益类资产项下的基础资产现金流未能及时完整取得而产生信用风险，从而无法如期兑付进一步引发流动性风险。</w:t>
      </w:r>
    </w:p>
    <w:p>
      <w:pPr>
        <w:numPr>
          <w:ilvl w:val="0"/>
          <w:numId w:val="19"/>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投资于权益类、其他类资产的可能流动性风险（如有）：权益类</w:t>
      </w:r>
      <w:r>
        <w:rPr>
          <w:rFonts w:hint="eastAsia" w:ascii="宋体" w:hAnsi="宋体" w:cs="宋体"/>
          <w:bCs/>
          <w:sz w:val="24"/>
          <w:highlight w:val="none"/>
          <w:lang w:val="en-US" w:eastAsia="zh-CN"/>
        </w:rPr>
        <w:t>、其他类</w:t>
      </w:r>
      <w:r>
        <w:rPr>
          <w:rFonts w:hint="eastAsia" w:ascii="宋体" w:hAnsi="宋体" w:cs="宋体"/>
          <w:bCs/>
          <w:sz w:val="24"/>
          <w:highlight w:val="none"/>
        </w:rPr>
        <w:t>资产包括但不限于上市公司普通股、上市公司优先股、股票基金、股票定向增发、未上市公司股权等，受国家政策、经济周期、利率、汇率、股票发行人经营情况、大宗商品等因素导致的市场风险，可能导致流通与转让限制、市场参与者交易意愿降低、停牌、退市等情形，从而进一步引发流动性风险。</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以上风险仅为列举性质，未能详尽列明拟投资市场和资产面临的全部流动性风险</w:t>
      </w:r>
      <w:r>
        <w:rPr>
          <w:rFonts w:ascii="宋体" w:hAnsi="宋体" w:cs="宋体"/>
          <w:bCs/>
          <w:sz w:val="24"/>
          <w:highlight w:val="none"/>
        </w:rPr>
        <w:t>可能导致投资者投资本金及收益损失</w:t>
      </w:r>
      <w:r>
        <w:rPr>
          <w:rFonts w:hint="eastAsia" w:ascii="宋体" w:hAnsi="宋体" w:cs="宋体"/>
          <w:bCs/>
          <w:sz w:val="24"/>
          <w:highlight w:val="none"/>
        </w:rPr>
        <w:t>或延期兑付</w:t>
      </w:r>
      <w:r>
        <w:rPr>
          <w:rFonts w:ascii="宋体" w:hAnsi="宋体" w:cs="宋体"/>
          <w:bCs/>
          <w:sz w:val="24"/>
          <w:highlight w:val="none"/>
        </w:rPr>
        <w:t>的所有因素</w:t>
      </w:r>
      <w:r>
        <w:rPr>
          <w:rFonts w:hint="eastAsia" w:ascii="宋体" w:hAnsi="宋体" w:cs="宋体"/>
          <w:bCs/>
          <w:sz w:val="24"/>
          <w:highlight w:val="none"/>
        </w:rPr>
        <w:t>。管理人会进行标的的分散化投资并结合对各类标的资产的预期流动性合理进行资产配置，最大程度防范流动性风险。</w:t>
      </w:r>
    </w:p>
    <w:p>
      <w:pPr>
        <w:spacing w:line="360" w:lineRule="auto"/>
        <w:ind w:firstLine="480" w:firstLineChars="200"/>
        <w:jc w:val="left"/>
        <w:rPr>
          <w:rFonts w:hint="eastAsia" w:ascii="宋体" w:hAnsi="宋体" w:cs="宋体"/>
          <w:bCs/>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合作机构及主要职责</w:t>
      </w:r>
    </w:p>
    <w:p>
      <w:pPr>
        <w:numPr>
          <w:ilvl w:val="0"/>
          <w:numId w:val="21"/>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托管人</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6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托管人名称</w:t>
            </w:r>
          </w:p>
        </w:tc>
        <w:tc>
          <w:tcPr>
            <w:tcW w:w="6553" w:type="dxa"/>
            <w:noWrap w:val="0"/>
            <w:vAlign w:val="top"/>
          </w:tcPr>
          <w:p>
            <w:pPr>
              <w:widowControl w:val="0"/>
              <w:spacing w:line="360" w:lineRule="auto"/>
              <w:jc w:val="left"/>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杭州银行股份有限公司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托管人住所</w:t>
            </w:r>
          </w:p>
        </w:tc>
        <w:tc>
          <w:tcPr>
            <w:tcW w:w="6553" w:type="dxa"/>
            <w:noWrap w:val="0"/>
            <w:vAlign w:val="top"/>
          </w:tcPr>
          <w:p>
            <w:pPr>
              <w:widowControl w:val="0"/>
              <w:spacing w:line="360" w:lineRule="auto"/>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浙江省杭州市上城区解放东路168号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托管人职责</w:t>
            </w:r>
          </w:p>
        </w:tc>
        <w:tc>
          <w:tcPr>
            <w:tcW w:w="6553" w:type="dxa"/>
            <w:noWrap w:val="0"/>
            <w:vAlign w:val="top"/>
          </w:tcPr>
          <w:p>
            <w:pPr>
              <w:widowControl w:val="0"/>
              <w:spacing w:line="360" w:lineRule="auto"/>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主要提供包括账户开立、资金保管、资金结算、估值核对等理财产品托管服务。</w:t>
            </w:r>
          </w:p>
        </w:tc>
      </w:tr>
    </w:tbl>
    <w:p>
      <w:pPr>
        <w:numPr>
          <w:ilvl w:val="0"/>
          <w:numId w:val="22"/>
        </w:numPr>
        <w:spacing w:line="360" w:lineRule="auto"/>
        <w:ind w:firstLine="482"/>
        <w:jc w:val="left"/>
        <w:outlineLvl w:val="2"/>
        <w:rPr>
          <w:rFonts w:hint="eastAsia" w:ascii="宋体" w:hAnsi="宋体" w:cs="宋体"/>
          <w:bCs/>
          <w:color w:val="000000"/>
          <w:sz w:val="24"/>
          <w:highlight w:val="none"/>
        </w:rPr>
      </w:pPr>
      <w:r>
        <w:rPr>
          <w:rFonts w:hint="eastAsia" w:ascii="宋体" w:hAnsi="宋体" w:cs="宋体"/>
          <w:b/>
          <w:sz w:val="24"/>
          <w:highlight w:val="none"/>
        </w:rPr>
        <w:t>销售机构</w:t>
      </w:r>
    </w:p>
    <w:tbl>
      <w:tblPr>
        <w:tblStyle w:val="8"/>
        <w:tblW w:w="8522" w:type="dxa"/>
        <w:tblInd w:w="0" w:type="dxa"/>
        <w:tblLayout w:type="fixed"/>
        <w:tblCellMar>
          <w:top w:w="0" w:type="dxa"/>
          <w:left w:w="108" w:type="dxa"/>
          <w:bottom w:w="0" w:type="dxa"/>
          <w:right w:w="108" w:type="dxa"/>
        </w:tblCellMar>
      </w:tblPr>
      <w:tblGrid>
        <w:gridCol w:w="675"/>
        <w:gridCol w:w="1701"/>
        <w:gridCol w:w="1105"/>
        <w:gridCol w:w="5041"/>
      </w:tblGrid>
      <w:tr>
        <w:tblPrEx>
          <w:tblLayout w:type="fixed"/>
          <w:tblCellMar>
            <w:top w:w="0" w:type="dxa"/>
            <w:left w:w="108" w:type="dxa"/>
            <w:bottom w:w="0" w:type="dxa"/>
            <w:right w:w="108" w:type="dxa"/>
          </w:tblCellMar>
        </w:tblPrEx>
        <w:trPr>
          <w:trHeight w:val="300" w:hRule="atLeast"/>
        </w:trPr>
        <w:tc>
          <w:tcPr>
            <w:tcW w:w="675"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销售机构信息</w:t>
            </w: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杭州银行股份有限公司</w:t>
            </w:r>
          </w:p>
        </w:tc>
        <w:tc>
          <w:tcPr>
            <w:tcW w:w="110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single" w:color="auto" w:sz="4" w:space="0"/>
              <w:left w:val="nil"/>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浙江省杭州市上城区解放东路168号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95398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苏州银行股份有限公司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江苏省苏州工业园区钟园路728号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96067</w:t>
            </w:r>
          </w:p>
        </w:tc>
      </w:tr>
      <w:tr>
        <w:tblPrEx>
          <w:tblLayout w:type="fixed"/>
          <w:tblCellMar>
            <w:top w:w="0" w:type="dxa"/>
            <w:left w:w="108" w:type="dxa"/>
            <w:bottom w:w="0" w:type="dxa"/>
            <w:right w:w="108" w:type="dxa"/>
          </w:tblCellMar>
        </w:tblPrEx>
        <w:trPr>
          <w:trHeight w:val="51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厦门银行股份有限公司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福建省厦门市思明区湖滨北路101号商业银行大厦</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400-858-8888</w:t>
            </w:r>
          </w:p>
        </w:tc>
      </w:tr>
      <w:tr>
        <w:tblPrEx>
          <w:tblLayout w:type="fixed"/>
          <w:tblCellMar>
            <w:top w:w="0" w:type="dxa"/>
            <w:left w:w="108" w:type="dxa"/>
            <w:bottom w:w="0" w:type="dxa"/>
            <w:right w:w="108" w:type="dxa"/>
          </w:tblCellMar>
        </w:tblPrEx>
        <w:trPr>
          <w:trHeight w:val="30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中信银行股份有限公司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北京市朝阳区光华路10号院1号楼6-30层、32-42层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95558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齐鲁银行股份有限公司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山东省济南市历下区经十路10817号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400-609-6588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甘肃银行股份有限公司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甘肃省兰州市城关区东岗西路525—1号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4008696666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杭银理财有限责任公司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浙江省杭州市拱墅区庆春路38号金龙财富中心</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400-8950-999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绍兴银行股份有限公司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浙江省绍兴市越城区中兴南路1号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4000896528</w:t>
            </w:r>
          </w:p>
        </w:tc>
      </w:tr>
      <w:tr>
        <w:tblPrEx>
          <w:tblLayout w:type="fixed"/>
          <w:tblCellMar>
            <w:top w:w="0" w:type="dxa"/>
            <w:left w:w="108" w:type="dxa"/>
            <w:bottom w:w="0" w:type="dxa"/>
            <w:right w:w="108" w:type="dxa"/>
          </w:tblCellMar>
        </w:tblPrEx>
        <w:trPr>
          <w:trHeight w:val="72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浙江萧山农村商业银行股份有限公司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浙江省杭州市萧山区城厢街道人民路258号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4008896596</w:t>
            </w:r>
          </w:p>
        </w:tc>
      </w:tr>
      <w:tr>
        <w:tblPrEx>
          <w:tblLayout w:type="fixed"/>
          <w:tblCellMar>
            <w:top w:w="0" w:type="dxa"/>
            <w:left w:w="108" w:type="dxa"/>
            <w:bottom w:w="0" w:type="dxa"/>
            <w:right w:w="108" w:type="dxa"/>
          </w:tblCellMar>
        </w:tblPrEx>
        <w:trPr>
          <w:trHeight w:val="46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海南银行股份有限公司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海南省海口市龙华区海秀东路31号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0898-96566</w:t>
            </w:r>
          </w:p>
        </w:tc>
      </w:tr>
      <w:tr>
        <w:tblPrEx>
          <w:tblLayout w:type="fixed"/>
          <w:tblCellMar>
            <w:top w:w="0" w:type="dxa"/>
            <w:left w:w="108" w:type="dxa"/>
            <w:bottom w:w="0" w:type="dxa"/>
            <w:right w:w="108" w:type="dxa"/>
          </w:tblCellMar>
        </w:tblPrEx>
        <w:trPr>
          <w:trHeight w:val="46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秦皇岛银行股份有限公司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河北省秦皇岛市海港区河北大街西段560号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0335-96336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温州银行股份有限公司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浙江省温州市鹿城区会展路1316号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0577-96699</w:t>
            </w:r>
          </w:p>
        </w:tc>
      </w:tr>
      <w:tr>
        <w:tblPrEx>
          <w:tblLayout w:type="fixed"/>
          <w:tblCellMar>
            <w:top w:w="0" w:type="dxa"/>
            <w:left w:w="108" w:type="dxa"/>
            <w:bottom w:w="0" w:type="dxa"/>
            <w:right w:w="108" w:type="dxa"/>
          </w:tblCellMar>
        </w:tblPrEx>
        <w:trPr>
          <w:trHeight w:val="28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中邮邮惠万家银行有限责任公司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上海市虹口区东大名路1080号25层、26层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95504</w:t>
            </w:r>
          </w:p>
        </w:tc>
      </w:tr>
      <w:tr>
        <w:tblPrEx>
          <w:tblLayout w:type="fixed"/>
          <w:tblCellMar>
            <w:top w:w="0" w:type="dxa"/>
            <w:left w:w="108" w:type="dxa"/>
            <w:bottom w:w="0" w:type="dxa"/>
            <w:right w:w="108" w:type="dxa"/>
          </w:tblCellMar>
        </w:tblPrEx>
        <w:trPr>
          <w:trHeight w:val="28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大连农村商业银行股份有限公司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辽宁省大连经济技术开发区五彩城A区1栋-A1号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96689</w:t>
            </w:r>
          </w:p>
        </w:tc>
      </w:tr>
      <w:tr>
        <w:tblPrEx>
          <w:tblLayout w:type="fixed"/>
          <w:tblCellMar>
            <w:top w:w="0" w:type="dxa"/>
            <w:left w:w="108" w:type="dxa"/>
            <w:bottom w:w="0" w:type="dxa"/>
            <w:right w:w="108" w:type="dxa"/>
          </w:tblCellMar>
        </w:tblPrEx>
        <w:trPr>
          <w:trHeight w:val="29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吉林银行股份有限公司</w:t>
            </w: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经济开发区东南湖大路1817号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400-88-96666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福建海峡银行股份有限公司</w:t>
            </w: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福建省福州市台江区江滨中大道358号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400-893-9999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兰州银行股份有限公司</w:t>
            </w:r>
          </w:p>
        </w:tc>
        <w:tc>
          <w:tcPr>
            <w:tcW w:w="1105"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甘肃省兰州市酒泉路211号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400-88-96799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left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厦门农村商业银行股份有限公司</w:t>
            </w:r>
          </w:p>
        </w:tc>
        <w:tc>
          <w:tcPr>
            <w:tcW w:w="1105"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中国(福建)自由贸易试验区厦门片区东港北路31号(1层、17层、19层、27-28层、30-31层)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40083-96336</w:t>
            </w:r>
          </w:p>
        </w:tc>
      </w:tr>
      <w:tr>
        <w:tblPrEx>
          <w:tblLayout w:type="fixed"/>
          <w:tblCellMar>
            <w:top w:w="0" w:type="dxa"/>
            <w:left w:w="108" w:type="dxa"/>
            <w:bottom w:w="0" w:type="dxa"/>
            <w:right w:w="108" w:type="dxa"/>
          </w:tblCellMar>
        </w:tblPrEx>
        <w:trPr>
          <w:trHeight w:val="1635"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销售机构职责</w:t>
            </w:r>
          </w:p>
        </w:tc>
        <w:tc>
          <w:tcPr>
            <w:tcW w:w="7847"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主要负责理财计划推广、投资者风险承受能力评估、投资者适当性管理、理财计划份额认购、申购及赎回办理。</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协助管理人负责与投资者签订理财计划合同、与投资者沟通及进行信息披露、接受投资者咨询和客户维护等销售服务。</w:t>
            </w:r>
          </w:p>
        </w:tc>
      </w:tr>
    </w:tbl>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w:t>
      </w:r>
      <w:r>
        <w:rPr>
          <w:rFonts w:hint="eastAsia" w:ascii="宋体" w:hAnsi="宋体" w:cs="宋体"/>
          <w:bCs/>
          <w:color w:val="000000"/>
          <w:sz w:val="24"/>
          <w:highlight w:val="none"/>
          <w:lang w:eastAsia="zh-CN"/>
        </w:rPr>
        <w:t>后续如新增</w:t>
      </w:r>
      <w:r>
        <w:rPr>
          <w:rFonts w:hint="eastAsia" w:ascii="宋体" w:hAnsi="宋体" w:cs="宋体"/>
          <w:bCs/>
          <w:color w:val="000000"/>
          <w:sz w:val="24"/>
          <w:highlight w:val="none"/>
          <w:lang w:val="en-US" w:eastAsia="zh-CN"/>
        </w:rPr>
        <w:t>/减少销售机构或销售机构信息变更，请以管理人最新公告或官方网站展示为准</w:t>
      </w:r>
      <w:r>
        <w:rPr>
          <w:rFonts w:hint="eastAsia" w:ascii="宋体" w:hAnsi="宋体" w:cs="宋体"/>
          <w:bCs/>
          <w:color w:val="000000"/>
          <w:sz w:val="24"/>
          <w:highlight w:val="none"/>
        </w:rPr>
        <w:t>。</w:t>
      </w:r>
    </w:p>
    <w:p>
      <w:pPr>
        <w:spacing w:line="360" w:lineRule="auto"/>
        <w:ind w:firstLine="480" w:firstLineChars="200"/>
        <w:rPr>
          <w:rFonts w:hint="eastAsia" w:ascii="宋体" w:hAnsi="宋体" w:cs="宋体"/>
          <w:bCs/>
          <w:color w:val="000000"/>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估值</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估值日</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本理财计划估值日为每个工作日，定期由理财管理人和理财托管人核对估值结果并向投资者披露，具体日期以管理人公告为准。</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估值对象</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本理财计划所投资的所有资产及负债。</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估值目的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客观、准确反映理财计划的价值。</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估值方法</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估值方法中列示的资产品种不代表管理人的实际投向，本理财计划投资范围以“投资范围”章节表述为准。</w:t>
      </w:r>
    </w:p>
    <w:p>
      <w:pPr>
        <w:spacing w:line="360" w:lineRule="auto"/>
        <w:ind w:firstLine="480" w:firstLineChars="200"/>
        <w:rPr>
          <w:rFonts w:hint="eastAsia" w:ascii="宋体" w:hAnsi="宋体" w:cs="宋体"/>
          <w:b/>
          <w:sz w:val="24"/>
          <w:highlight w:val="none"/>
        </w:rPr>
      </w:pPr>
      <w:r>
        <w:rPr>
          <w:rFonts w:hint="eastAsia"/>
          <w:sz w:val="24"/>
          <w:highlight w:val="none"/>
        </w:rPr>
        <w:t>理财计划所投资各类资产按照会计准则和监管要求进行会计分类，并按如下规则进行计量：</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货币市场工具类资产</w:t>
      </w:r>
    </w:p>
    <w:p>
      <w:pPr>
        <w:pStyle w:val="14"/>
        <w:adjustRightInd/>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银行存款及回购，以本金列示，按商定利率在实际持有期间内逐日计提利息。</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债券及同业存单类资产</w:t>
      </w:r>
    </w:p>
    <w:p>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以收取合同现金流量为目的并持有到期的债券及同业存单类资产，按摊余成本法进行计量。其余债券及同业存单类资产，按市价法估值。市价法不能确定公允价值的，采用估值技术进行估值。</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债权类资产</w:t>
      </w:r>
    </w:p>
    <w:p>
      <w:pPr>
        <w:spacing w:line="360" w:lineRule="auto"/>
        <w:rPr>
          <w:rFonts w:ascii="宋体" w:hAnsi="宋体" w:cs="宋体"/>
          <w:bCs/>
          <w:color w:val="000000"/>
          <w:sz w:val="24"/>
          <w:highlight w:val="none"/>
        </w:rPr>
      </w:pPr>
      <w:r>
        <w:rPr>
          <w:rFonts w:hint="eastAsia" w:ascii="宋体" w:hAnsi="宋体" w:cs="宋体"/>
          <w:bCs/>
          <w:color w:val="000000"/>
          <w:sz w:val="24"/>
          <w:highlight w:val="none"/>
        </w:rPr>
        <w:t xml:space="preserve">    对于符合监管要求的债权类资产，按照摊余成本法进行计量。其余债权类资产，按市价法估值。市价法不能确定其公允价值的，采用估值技术进行估值。</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股权类资产</w:t>
      </w:r>
    </w:p>
    <w:p>
      <w:pPr>
        <w:numPr>
          <w:ilvl w:val="0"/>
          <w:numId w:val="25"/>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上市流通股票按估值日其所在证券交易所的收盘价估值；估值日无交易，且最近交易日后未发生影响公允价值计量的重大事件的，以最近交易日的收盘价估值。</w:t>
      </w:r>
    </w:p>
    <w:p>
      <w:pPr>
        <w:numPr>
          <w:ilvl w:val="0"/>
          <w:numId w:val="25"/>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未上市股票的估值：</w:t>
      </w:r>
    </w:p>
    <w:p>
      <w:pPr>
        <w:spacing w:line="360" w:lineRule="auto"/>
        <w:rPr>
          <w:rFonts w:hint="eastAsia" w:ascii="宋体" w:hAnsi="宋体"/>
          <w:sz w:val="24"/>
          <w:highlight w:val="none"/>
        </w:rPr>
      </w:pPr>
      <w:r>
        <w:rPr>
          <w:rFonts w:hint="eastAsia" w:ascii="宋体" w:hAnsi="宋体" w:cs="宋体"/>
          <w:bCs/>
          <w:color w:val="000000"/>
          <w:sz w:val="24"/>
          <w:highlight w:val="none"/>
        </w:rPr>
        <w:t xml:space="preserve">      1）</w:t>
      </w:r>
      <w:r>
        <w:rPr>
          <w:rFonts w:hint="eastAsia" w:ascii="宋体" w:hAnsi="宋体"/>
          <w:sz w:val="24"/>
          <w:highlight w:val="none"/>
        </w:rPr>
        <w:t>送股、转增股、配股和公开增发新股等发行未上市的股票，按估值日在证券交易所挂牌的同一股票的市价估值；</w:t>
      </w:r>
    </w:p>
    <w:p>
      <w:pPr>
        <w:spacing w:line="360" w:lineRule="auto"/>
        <w:rPr>
          <w:rFonts w:hint="eastAsia" w:ascii="宋体" w:hAnsi="宋体"/>
          <w:sz w:val="24"/>
          <w:highlight w:val="none"/>
        </w:rPr>
      </w:pPr>
      <w:r>
        <w:rPr>
          <w:rFonts w:hint="eastAsia" w:ascii="宋体" w:hAnsi="宋体"/>
          <w:sz w:val="24"/>
          <w:highlight w:val="none"/>
        </w:rPr>
        <w:t xml:space="preserve">      2）首次公开发行有明确锁定期的股票，同一股票在交易所上市后，按交易所上市的同一股票的市价估值；</w:t>
      </w:r>
    </w:p>
    <w:p>
      <w:pPr>
        <w:spacing w:line="360" w:lineRule="auto"/>
        <w:rPr>
          <w:rFonts w:hint="eastAsia" w:ascii="宋体" w:hAnsi="宋体"/>
          <w:sz w:val="24"/>
          <w:highlight w:val="none"/>
        </w:rPr>
      </w:pPr>
      <w:r>
        <w:rPr>
          <w:rFonts w:hint="eastAsia" w:ascii="宋体" w:hAnsi="宋体"/>
          <w:sz w:val="24"/>
          <w:highlight w:val="none"/>
        </w:rPr>
        <w:t xml:space="preserve">      3）首次发行未上市的股票，按发行价格进行估值；</w:t>
      </w:r>
    </w:p>
    <w:p>
      <w:pPr>
        <w:spacing w:line="360" w:lineRule="auto"/>
        <w:rPr>
          <w:rFonts w:hint="eastAsia" w:ascii="宋体" w:hAnsi="宋体"/>
          <w:sz w:val="24"/>
          <w:highlight w:val="none"/>
        </w:rPr>
      </w:pPr>
      <w:r>
        <w:rPr>
          <w:rFonts w:hint="eastAsia" w:ascii="宋体" w:hAnsi="宋体"/>
          <w:sz w:val="24"/>
          <w:highlight w:val="none"/>
        </w:rPr>
        <w:t xml:space="preserve">      4）因持有股票而享有的配股权，采用估值技术确定公允价值。</w:t>
      </w:r>
    </w:p>
    <w:p>
      <w:pPr>
        <w:numPr>
          <w:ilvl w:val="0"/>
          <w:numId w:val="25"/>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非上市股权的估值：</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非上市股权类资产，按照国家最新规定，采用合理的估值技术进行估值。</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基金、资产管理计划类资产</w:t>
      </w:r>
    </w:p>
    <w:p>
      <w:pPr>
        <w:spacing w:line="360" w:lineRule="auto"/>
        <w:ind w:firstLine="480" w:firstLineChars="200"/>
        <w:rPr>
          <w:rFonts w:hint="eastAsia" w:ascii="宋体" w:hAnsi="宋体"/>
          <w:sz w:val="24"/>
          <w:highlight w:val="none"/>
        </w:rPr>
      </w:pPr>
      <w:r>
        <w:rPr>
          <w:rFonts w:hint="eastAsia" w:ascii="宋体" w:hAnsi="宋体" w:cs="宋体"/>
          <w:bCs/>
          <w:color w:val="000000"/>
          <w:sz w:val="24"/>
          <w:highlight w:val="none"/>
        </w:rPr>
        <w:t>若合同约定估值方案，以基金、信托计划、资产管理计划的管理人提供的最新报价估值。报价包括资产的单位净值、每万份收益以及其他形式的投资收益。</w:t>
      </w:r>
    </w:p>
    <w:p>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若合同未约定估值方案，但有确定的预期收益率的，按商定利率每日计提投资收益。如该类资产存续期间发生影响资产未来现金流的重大事件的，经管理人合理判断对资产价值进行重估。</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其他资产的估值方法</w:t>
      </w:r>
    </w:p>
    <w:p>
      <w:pPr>
        <w:pStyle w:val="14"/>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其他资产存在公允价值的，按照监管要求进行公允价值估值，公允价值不能确定的按国家最新规定进行估值。</w:t>
      </w:r>
    </w:p>
    <w:p>
      <w:pPr>
        <w:pStyle w:val="14"/>
        <w:spacing w:line="360" w:lineRule="auto"/>
        <w:ind w:firstLine="480" w:firstLineChars="200"/>
        <w:rPr>
          <w:rFonts w:hint="eastAsia" w:ascii="宋体" w:hAnsi="宋体" w:cs="宋体"/>
          <w:bCs/>
          <w:highlight w:val="none"/>
        </w:rPr>
      </w:pPr>
      <w:r>
        <w:rPr>
          <w:rFonts w:hint="eastAsia" w:ascii="宋体" w:hAnsi="宋体" w:cs="宋体"/>
          <w:bCs/>
          <w:kern w:val="2"/>
          <w:highlight w:val="none"/>
        </w:rPr>
        <w:t>以</w:t>
      </w:r>
      <w:r>
        <w:rPr>
          <w:rFonts w:hint="eastAsia" w:ascii="宋体" w:hAnsi="宋体" w:cs="宋体"/>
          <w:bCs/>
          <w:highlight w:val="none"/>
        </w:rPr>
        <w:t>摊余成本法计量的资产，按照会计准则规定采用合理的减值计量模型或第三方减值计量结果进行减值计提。计提减值不等同于金融资产已发生损失，仅为对未来风险的审慎预期。</w:t>
      </w:r>
    </w:p>
    <w:p>
      <w:pPr>
        <w:pStyle w:val="14"/>
        <w:tabs>
          <w:tab w:val="left" w:pos="0"/>
        </w:tabs>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当理财计划管理人或托管人认为按上述方法对理财计划进行估值不能客观反映其公允价值的，可以在满足监管要求的前提下协商一致后，按最能反映公允价值的价格估值，并自协商一致日后执行。</w:t>
      </w:r>
    </w:p>
    <w:p>
      <w:pPr>
        <w:pStyle w:val="14"/>
        <w:tabs>
          <w:tab w:val="left" w:pos="0"/>
        </w:tabs>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如在本理财计划发行、募集、管理期间，有权管理机关对财务报告准则、估值核算方法标准进行调整，管理人有权根据相关机关要求对本理财计划的估值方法进行相应修改。</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估值差错处理</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如理财计划管理人或托管人发现资产估值违反本理财计划说明书约定的估值方法、程序及相关法律法规的规定或者未能充分维护投资者利益时，应立即通知对方，共同查明原因，协商解决。如经相关各方在平等基础上充分讨论后，仍无法达成一致意见，以理财计划管理人意见为准。当委托财产估值提交投资者后发现存在错误时，理财计划管理人和托管人应该立即报告投资者并及时更正。由于本理财计划估值所用的数据来源中出现错误，或由于其它不可抗力原因，理财计划管理人和托管人虽然已采取必要、适当、合理的措施进行检查，但是未能发现该错误的，由此造成的估值错误，理财计划管理人和托管人免除赔偿责任，但理财计划管理人和托管人应当积极采取必要的措施消除由此造成的影响。</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暂停估值情形</w:t>
      </w:r>
    </w:p>
    <w:p>
      <w:pPr>
        <w:numPr>
          <w:ilvl w:val="0"/>
          <w:numId w:val="2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理财计划投资所涉及的交易市场遇法定节假日或因其他原因暂停营业时暂停估值，该种情况理财计划估值日期提前到上一交易日。</w:t>
      </w:r>
    </w:p>
    <w:p>
      <w:pPr>
        <w:numPr>
          <w:ilvl w:val="0"/>
          <w:numId w:val="2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因不可抗力或其他情形致使理财计划管理人、理财计划托管人无法准确评估资产价值时。</w:t>
      </w:r>
    </w:p>
    <w:p>
      <w:pPr>
        <w:numPr>
          <w:ilvl w:val="0"/>
          <w:numId w:val="26"/>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理财计划管理人、托管人有合理理由认为将影响本理财计划估值的其他情形发生。</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资产账册的建立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管理人和托管人在本合同生效后，应按照相关各方约定的同一记账方法和会计处理原则，分别独立设置、保管理财计划财产的全套账册，对相关各方各自的账册定期进行核对，互相监督，以保证委托财产的安全。若双方对会计处理方法存在分歧，应以理财计划管理人的处理方法为准。</w:t>
      </w:r>
    </w:p>
    <w:p>
      <w:pPr>
        <w:spacing w:line="360" w:lineRule="auto"/>
        <w:ind w:firstLine="480" w:firstLineChars="200"/>
        <w:jc w:val="left"/>
        <w:rPr>
          <w:rFonts w:hint="eastAsia" w:ascii="宋体" w:hAnsi="宋体" w:cs="宋体"/>
          <w:bCs/>
          <w:color w:val="000000"/>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费用及税收</w:t>
      </w:r>
    </w:p>
    <w:p>
      <w:pPr>
        <w:numPr>
          <w:ilvl w:val="0"/>
          <w:numId w:val="27"/>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费用种类</w:t>
      </w:r>
    </w:p>
    <w:p>
      <w:pPr>
        <w:spacing w:line="360" w:lineRule="auto"/>
        <w:ind w:firstLine="480" w:firstLineChars="200"/>
        <w:jc w:val="left"/>
        <w:rPr>
          <w:rFonts w:ascii="宋体" w:hAnsi="宋体" w:cs="宋体"/>
          <w:b/>
          <w:sz w:val="24"/>
          <w:highlight w:val="none"/>
        </w:rPr>
      </w:pPr>
      <w:r>
        <w:rPr>
          <w:rFonts w:hint="eastAsia" w:ascii="宋体" w:hAnsi="宋体" w:cs="宋体"/>
          <w:bCs/>
          <w:color w:val="000000"/>
          <w:sz w:val="24"/>
          <w:highlight w:val="none"/>
        </w:rPr>
        <w:t>本理财计划涉及费用包括销售服务费、托管费、固定管理费、认购费、浮动管理费以及理财计划运作和清算中产生的其他费用等。</w:t>
      </w:r>
    </w:p>
    <w:p>
      <w:pPr>
        <w:numPr>
          <w:ilvl w:val="0"/>
          <w:numId w:val="27"/>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费用计提方法、标准及支付方式</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销售服务费</w:t>
      </w:r>
    </w:p>
    <w:p>
      <w:pPr>
        <w:spacing w:line="360" w:lineRule="auto"/>
        <w:ind w:firstLine="420" w:firstLineChars="0"/>
        <w:jc w:val="left"/>
        <w:rPr>
          <w:rFonts w:hint="eastAsia" w:ascii="宋体" w:hAnsi="宋体" w:cs="宋体"/>
          <w:bCs/>
          <w:color w:val="000000"/>
          <w:sz w:val="24"/>
          <w:highlight w:val="none"/>
        </w:rPr>
      </w:pPr>
      <w:r>
        <w:rPr>
          <w:rFonts w:hint="eastAsia" w:ascii="宋体" w:hAnsi="宋体" w:cs="宋体"/>
          <w:bCs/>
          <w:color w:val="000000"/>
          <w:sz w:val="24"/>
          <w:highlight w:val="none"/>
          <w:lang w:val="en-US" w:eastAsia="zh-CN"/>
        </w:rPr>
        <w:t>理财计划财产分为每日计提销售服务费的〖A份额〗、〖B份额〗、〖C份额〗、〖D份额〗、〖E份额〗、〖F份额〗、〖G份额〗、〖H份额〗、〖I份额〗、〖J份额〗、〖K份额〗、〖L份额〗、〖P份额〗、〖V份额〗、〖X份额〗和销售服务费于产品成立日一次性收取的〖N份额〗、〖Q份额〗、〖R份额〗、〖S份额〗、〖U份额〗、〖W份额〗、〖Y份额〗、〖Z份额〗。A份额的年化销售服务费率为〖0.30%〗, B份额的年化销售服务费率为〖0.20%〗, C份额的年化销售服务费率为〖0.10%〗, D份额的年化销售服务费率为〖0.15%〗, E份额的年化销售服务费率为〖0.40%〗, F份额的年化销售服务费率为〖0.15%〗, G份额的年化销售服务费率为〖0.05%〗, H份额的年化销售服务费率为〖0.20%〗, I份额的年化销售服务费率为〖0.30%〗, J份额的年化销售服务费率为〖0.05%〗, K份额的年化销售服务费率为〖0.30%〗, L份额的年化销售服务费率为〖0.10%〗, N份额的年化销售服务费率为〖0.20%〗, P份额的年化销售服务费率为〖0.15%〗, Q份额的年化销售服务费率为〖0.10%〗, R份额的年化销售服务费率为〖0.15%〗, S份额的年化销售服务费率为〖0.15%〗, U份额的年化销售服务费率为〖0.20%〗, V份额的年化销售服务费率为〖0.10%〗, W份额的年化销售服务费率为〖0.30%〗, X份额的年化销售服务费率为〖0.05%〗, Y份额的年化销售服务费率为〖0.20%〗, Z份额的年化销售服务费率为〖0.10%〗。两种计算方法如下：</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（1）销售费按日计提</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H1＝E1×〖0.30%〗÷365</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H1为〖A份额〗每日应计提的销售服务费</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E1为〖A份额〗前一日资产净值</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销售服务费原则上按日计提。</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（2）销售费一次性收取</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H2＝E2×〖0.20%〗×P÷365</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H2为〖N份额〗应计提的销售服务费</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E2为〖N份额〗成立日产品份额</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P为产品投资期限天数</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销售服务费于产品成立日一次性收取，每日摊销。</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理财计划财产的年化托管费为〖</w:t>
      </w:r>
      <w:r>
        <w:rPr>
          <w:rFonts w:hint="eastAsia" w:ascii="宋体" w:hAnsi="宋体" w:cs="宋体"/>
          <w:bCs/>
          <w:color w:val="000000"/>
          <w:sz w:val="24"/>
          <w:highlight w:val="none"/>
          <w:lang w:val="en-US" w:eastAsia="zh-CN"/>
        </w:rPr>
        <w:t>0.025</w:t>
      </w:r>
      <w:r>
        <w:rPr>
          <w:rFonts w:hint="eastAsia" w:ascii="宋体" w:hAnsi="宋体" w:cs="宋体"/>
          <w:bCs/>
          <w:color w:val="000000"/>
          <w:sz w:val="24"/>
          <w:highlight w:val="none"/>
        </w:rPr>
        <w:t>%〗，计算方法如下：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w:t>
      </w:r>
      <w:r>
        <w:rPr>
          <w:rFonts w:hint="eastAsia" w:ascii="宋体" w:hAnsi="宋体" w:cs="宋体"/>
          <w:bCs/>
          <w:color w:val="000000"/>
          <w:sz w:val="24"/>
          <w:highlight w:val="none"/>
          <w:lang w:val="en-US" w:eastAsia="zh-CN"/>
        </w:rPr>
        <w:t>0.025</w:t>
      </w:r>
      <w:r>
        <w:rPr>
          <w:rFonts w:hint="eastAsia" w:ascii="宋体" w:hAnsi="宋体" w:cs="宋体"/>
          <w:bCs/>
          <w:color w:val="000000"/>
          <w:sz w:val="24"/>
          <w:highlight w:val="none"/>
        </w:rPr>
        <w:t>%</w:t>
      </w:r>
      <w:r>
        <w:rPr>
          <w:rFonts w:hint="eastAsia" w:ascii="宋体" w:hAnsi="宋体" w:cs="宋体"/>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H为每日应计提的托管费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E为本理财计划前一日资产净值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托管费原则上按日计提。</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理财计划财产A份额的年化固定管理费率为〖0.05%〗, B份额的年化固定管理费率为〖0.05%〗, C份额的年化固定管理费率为〖0.05%〗, D份额的年化固定管理费率为〖0.05%〗, E份额的年化固定管理费率为〖0.10%〗, F份额的年化固定管理费率为〖0.05%〗, G份额的年化固定管理费率为〖0.05%〗, H份额的年化固定管理费率为〖0.05%〗, I份额的年化固定管理费率为〖0.05%〗, J份额的年化固定管理费率为〖0.05%〗, K份额的年化固定管理费率为〖0.05%〗, L份额的年化固定管理费率为〖0.05%〗, N份额的年化固定管理费率为〖0.05%〗, P份额的年化固定管理费率为〖0.05%〗, Q份额的年化固定管理费率为〖0.05%〗, R份额的年化固定管理费率为〖0.05%〗, S份额的年化固定管理费率为〖0.04%〗, U份额的年化固定管理费率为〖0.05%〗, V份额的年化固定管理费率为〖0.05%〗, W份额的年化固定管理费率为〖0.05%〗, X份额的年化固定管理费率为〖0.05%〗, Y份额的年化固定管理费率为〖0.05%〗, Z份额的年化固定管理费率为〖0.05%〗, 以〖A份额〗为例，计算方法如下：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H＝E×〖0.05%</w:t>
      </w:r>
      <w:r>
        <w:rPr>
          <w:rFonts w:hint="eastAsia" w:ascii="宋体" w:hAnsi="宋体" w:cs="宋体"/>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w:t>
      </w:r>
      <w:r>
        <w:rPr>
          <w:rFonts w:hint="eastAsia" w:ascii="宋体" w:hAnsi="宋体" w:cs="宋体"/>
          <w:sz w:val="24"/>
          <w:highlight w:val="none"/>
          <w:lang w:val="en-US" w:eastAsia="zh-CN"/>
        </w:rPr>
        <w:t>A</w:t>
      </w:r>
      <w:r>
        <w:rPr>
          <w:rFonts w:hint="eastAsia" w:ascii="宋体" w:hAnsi="宋体" w:cs="宋体"/>
          <w:bCs/>
          <w:color w:val="000000"/>
          <w:sz w:val="24"/>
          <w:highlight w:val="none"/>
        </w:rPr>
        <w:t>份额每日应计提的固定管理费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w:t>
      </w:r>
      <w:r>
        <w:rPr>
          <w:rFonts w:hint="eastAsia" w:ascii="宋体" w:hAnsi="宋体" w:cs="宋体"/>
          <w:sz w:val="24"/>
          <w:highlight w:val="none"/>
          <w:lang w:val="en-US" w:eastAsia="zh-CN"/>
        </w:rPr>
        <w:t>A</w:t>
      </w:r>
      <w:r>
        <w:rPr>
          <w:rFonts w:hint="eastAsia" w:ascii="宋体" w:hAnsi="宋体" w:cs="宋体"/>
          <w:bCs/>
          <w:color w:val="000000"/>
          <w:sz w:val="24"/>
          <w:highlight w:val="none"/>
        </w:rPr>
        <w:t>份额前一日资产净值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固定管理费原则上按日计提，如理财计划实际运作结果不达业绩比较基准下限时，管理人有权减免固定管理费。</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认购费</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本理财计划免除认购费。</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浮动管理费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理财管理人根据理财计划投资情况计算浮动管理费，浮动管理费原则上按估值日计提，到期收取。具体计算方法如下：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（1）若本理财计划到期日（提前终止日）的折合年化收益率超过业绩比较基准下限但未达到业绩比较基准上限，则超过业绩比较基准下限的部分管理人收取〖</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%〗作为浮动管理费，即：</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H=E×NAV0×（K-S)×〖</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%〗×N÷365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其中，K=(NAV1-NAV0+T)÷NAV0×365÷N</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（2）若本理财计划到期日（提前终止日）的折合年化收益率超过业绩比较基准上限，则〖业绩比较基准下限(含)至上限(含)〗的部分管理人收取〖</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%〗作为浮动管理费，超过〖业绩比较基准上限〗的部分管理人收取〖</w:t>
      </w:r>
      <w:r>
        <w:rPr>
          <w:rFonts w:hint="eastAsia" w:ascii="宋体" w:hAnsi="宋体" w:eastAsia="宋体" w:cs="宋体"/>
          <w:b w:val="0"/>
          <w:bCs/>
          <w:color w:val="000000"/>
          <w:kern w:val="2"/>
          <w:sz w:val="24"/>
          <w:szCs w:val="24"/>
          <w:highlight w:val="none"/>
          <w:lang w:val="en-US" w:eastAsia="zh-CN" w:bidi="ar-SA"/>
        </w:rPr>
        <w:t>80</w:t>
      </w:r>
      <w:r>
        <w:rPr>
          <w:rFonts w:hint="eastAsia" w:ascii="宋体" w:hAnsi="宋体" w:cs="宋体"/>
          <w:bCs/>
          <w:color w:val="000000"/>
          <w:sz w:val="24"/>
          <w:highlight w:val="none"/>
        </w:rPr>
        <w:t>%〗作为浮动管理费，即：</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H=E×NAV0×[(K-R)×〖</w:t>
      </w:r>
      <w:r>
        <w:rPr>
          <w:rFonts w:hint="eastAsia" w:ascii="宋体" w:hAnsi="宋体" w:eastAsia="宋体" w:cs="宋体"/>
          <w:b w:val="0"/>
          <w:bCs/>
          <w:color w:val="000000"/>
          <w:kern w:val="2"/>
          <w:sz w:val="24"/>
          <w:szCs w:val="24"/>
          <w:highlight w:val="none"/>
          <w:lang w:val="en-US" w:eastAsia="zh-CN" w:bidi="ar-SA"/>
        </w:rPr>
        <w:t>80</w:t>
      </w:r>
      <w:r>
        <w:rPr>
          <w:rFonts w:hint="eastAsia" w:ascii="宋体" w:hAnsi="宋体" w:cs="宋体"/>
          <w:bCs/>
          <w:color w:val="000000"/>
          <w:sz w:val="24"/>
          <w:highlight w:val="none"/>
        </w:rPr>
        <w:t>%〗+(R-S)×〖</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%〗]×N÷365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其中，K=(NAV1-NAV0+T)÷NAV0×365÷N</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H为理财计划到期（提前终止）时应收取浮动管理费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E为投资者持有份额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K为收取浮动管理费前投资者持有份额对应持有区间折合年化收益率</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NAV0为理财计划成立日之初的单位净值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NAV1为理财计划到期日未扣除浮动管理费前的单位净值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R为</w:t>
      </w:r>
      <w:r>
        <w:rPr>
          <w:rFonts w:hint="eastAsia" w:ascii="宋体" w:hAnsi="宋体" w:cs="宋体"/>
          <w:bCs/>
          <w:color w:val="000000"/>
          <w:sz w:val="24"/>
          <w:highlight w:val="none"/>
          <w:lang w:val="en-US" w:eastAsia="zh-CN"/>
        </w:rPr>
        <w:t>理财计划</w:t>
      </w:r>
      <w:r>
        <w:rPr>
          <w:rFonts w:hint="eastAsia" w:ascii="宋体" w:hAnsi="宋体" w:cs="宋体"/>
          <w:bCs/>
          <w:color w:val="000000"/>
          <w:sz w:val="24"/>
          <w:highlight w:val="none"/>
        </w:rPr>
        <w:t>业绩比较基准上限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S为</w:t>
      </w:r>
      <w:r>
        <w:rPr>
          <w:rFonts w:hint="eastAsia" w:ascii="宋体" w:hAnsi="宋体" w:cs="宋体"/>
          <w:bCs/>
          <w:color w:val="000000"/>
          <w:sz w:val="24"/>
          <w:highlight w:val="none"/>
          <w:lang w:val="en-US" w:eastAsia="zh-CN"/>
        </w:rPr>
        <w:t>理财计划</w:t>
      </w:r>
      <w:r>
        <w:rPr>
          <w:rFonts w:hint="eastAsia" w:ascii="宋体" w:hAnsi="宋体" w:cs="宋体"/>
          <w:bCs/>
          <w:color w:val="000000"/>
          <w:sz w:val="24"/>
          <w:highlight w:val="none"/>
        </w:rPr>
        <w:t>业绩比较基准下限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N为理财计划份额成立日（含）至估值日（含）的区间天数</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T为理财计划运作期间每单位份额的实际分红金额合计（如有）</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其他费用</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除上述费用外，由受托管理资产承担的费用包括但不限于：</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财产管理、运用或处分过程中发生的税费。</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代理机构手续费、管理费、财务顾问费、保管费。</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审计费、律师费、公证费等费用。</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管理人自行或委托第三方向本理财计划所投资产所涉及相关主体进行追偿所发生的费用（包括但不限于诉讼费、仲裁费、律师费、保全费等全部费用）。</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理财计划的交易费用（包括但不限于交易佣金、相关账户费用等）及投资其他资管产品的费用。</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监管规定的其他费用。</w:t>
      </w:r>
    </w:p>
    <w:p>
      <w:pPr>
        <w:spacing w:line="360" w:lineRule="auto"/>
        <w:jc w:val="left"/>
        <w:rPr>
          <w:rFonts w:ascii="宋体" w:hAnsi="宋体" w:cs="宋体"/>
          <w:bCs/>
          <w:sz w:val="24"/>
          <w:highlight w:val="none"/>
        </w:rPr>
      </w:pPr>
      <w:r>
        <w:rPr>
          <w:rFonts w:hint="eastAsia" w:ascii="宋体" w:hAnsi="宋体" w:cs="宋体"/>
          <w:bCs/>
          <w:sz w:val="24"/>
          <w:highlight w:val="none"/>
        </w:rPr>
        <w:t xml:space="preserve">    </w:t>
      </w:r>
      <w:r>
        <w:rPr>
          <w:rFonts w:hint="eastAsia" w:ascii="宋体" w:hAnsi="宋体" w:cs="宋体"/>
          <w:b/>
          <w:sz w:val="24"/>
          <w:highlight w:val="none"/>
        </w:rPr>
        <w:t>管理人有权根据国家政策和适用法律的规定，对本理财计划费用名目、收费条件、收费标准和收费方式进行调整，并按照信息披露约定的方式向投资者进行披露。对于管理人增加费用名目、提高收费标准等对投资者利益产生实质影响的情形，投资者如不同意调整的，可在管理人信息披露的补充或修改后的相关业务调整生效前申请赎回本理财计划，逾期未赎回的视为同意接受上述调整且继续持有本理财计划。</w:t>
      </w:r>
    </w:p>
    <w:p>
      <w:pPr>
        <w:numPr>
          <w:ilvl w:val="0"/>
          <w:numId w:val="30"/>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税收说明</w:t>
      </w:r>
    </w:p>
    <w:p>
      <w:pPr>
        <w:numPr>
          <w:ilvl w:val="0"/>
          <w:numId w:val="31"/>
        </w:numPr>
        <w:spacing w:line="360" w:lineRule="auto"/>
        <w:jc w:val="left"/>
        <w:rPr>
          <w:highlight w:val="none"/>
        </w:rPr>
      </w:pPr>
      <w:r>
        <w:rPr>
          <w:rFonts w:hint="eastAsia" w:ascii="宋体" w:hAnsi="宋体" w:cs="宋体"/>
          <w:bCs/>
          <w:color w:val="000000"/>
          <w:sz w:val="24"/>
          <w:highlight w:val="none"/>
        </w:rPr>
        <w:t>根据财政部、国家税务总局相关税收监管政策的规定，理财计划运营过程中发生的增值税应税行为，以理财计划为增值税纳税主体，计算并缴纳增值税及附加税费。理财计划管理人将按照相关规定计算应缴纳的税费，并从本理财计划财产中支付。</w:t>
      </w:r>
    </w:p>
    <w:p>
      <w:pPr>
        <w:numPr>
          <w:ilvl w:val="0"/>
          <w:numId w:val="31"/>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除法律法规特别要求外，投资者应缴纳的税收由投资者自行缴纳，理财计划管理人不承担代扣代缴或纳税的义务。</w:t>
      </w:r>
    </w:p>
    <w:p>
      <w:pPr>
        <w:numPr>
          <w:ilvl w:val="0"/>
          <w:numId w:val="31"/>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后续国家法律法规如对相关税收政策进行调整，理财计划管理人有权根据税收政策相应调整理财计划运营过程中发生的税费计算及缴纳方式。</w:t>
      </w:r>
    </w:p>
    <w:p>
      <w:pPr>
        <w:spacing w:line="360" w:lineRule="auto"/>
        <w:jc w:val="left"/>
        <w:rPr>
          <w:rFonts w:hint="eastAsia" w:ascii="宋体" w:hAnsi="宋体" w:cs="宋体"/>
          <w:b/>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收益计算</w:t>
      </w:r>
    </w:p>
    <w:p>
      <w:pPr>
        <w:numPr>
          <w:ilvl w:val="0"/>
          <w:numId w:val="3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计算公式</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投资者理财收益＝认购份额×到期日（提前终止日）单位净值+份额持有期间累计分红-认购金额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认购份额=认购金额÷1元。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到期日（提前终止日）单位净值为提取相关费用及税费后的单位理财计划份额净值。</w:t>
      </w:r>
    </w:p>
    <w:p>
      <w:pPr>
        <w:numPr>
          <w:ilvl w:val="0"/>
          <w:numId w:val="3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示例说明</w:t>
      </w:r>
    </w:p>
    <w:p>
      <w:pPr>
        <w:numPr>
          <w:ilvl w:val="0"/>
          <w:numId w:val="0"/>
        </w:numPr>
        <w:spacing w:line="360" w:lineRule="auto"/>
        <w:ind w:left="420" w:firstLine="0"/>
        <w:jc w:val="left"/>
        <w:outlineLvl w:val="2"/>
        <w:rPr>
          <w:rFonts w:hint="eastAsia" w:ascii="宋体" w:hAnsi="宋体" w:cs="宋体"/>
          <w:b/>
          <w:sz w:val="24"/>
          <w:highlight w:val="none"/>
        </w:rPr>
      </w:pPr>
      <w:r>
        <w:rPr>
          <w:rFonts w:hint="eastAsia" w:ascii="宋体" w:hAnsi="宋体" w:cs="宋体"/>
          <w:bCs/>
          <w:color w:val="000000"/>
          <w:sz w:val="24"/>
          <w:highlight w:val="none"/>
        </w:rPr>
        <w:t>以下示例均为假设情况，不构成业绩预测，不代表本理财计划实际投资业绩。</w:t>
      </w:r>
    </w:p>
    <w:p>
      <w:pPr>
        <w:numPr>
          <w:ilvl w:val="0"/>
          <w:numId w:val="33"/>
        </w:numPr>
        <w:spacing w:line="360" w:lineRule="auto"/>
        <w:jc w:val="left"/>
        <w:rPr>
          <w:rFonts w:hint="eastAsia" w:ascii="宋体" w:hAnsi="宋体" w:cs="宋体"/>
          <w:b/>
          <w:sz w:val="24"/>
          <w:highlight w:val="none"/>
        </w:rPr>
      </w:pPr>
      <w:r>
        <w:rPr>
          <w:rFonts w:hint="eastAsia" w:ascii="宋体" w:hAnsi="宋体" w:cs="宋体"/>
          <w:b/>
          <w:sz w:val="24"/>
          <w:highlight w:val="none"/>
        </w:rPr>
        <w:t>示例一</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扣除托管费、固定管理费、销售服务费（如有）后，投资收益率超过〖</w:t>
      </w:r>
      <w:r>
        <w:rPr>
          <w:rFonts w:hint="eastAsia" w:ascii="宋体" w:hAnsi="宋体" w:cs="宋体"/>
          <w:b/>
          <w:color w:val="000000"/>
          <w:sz w:val="24"/>
          <w:highlight w:val="none"/>
          <w:lang w:val="en-US" w:eastAsia="zh-CN"/>
        </w:rPr>
        <w:t>业绩比较基准上限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到期时扣除托管费、固定管理费、销售服务费（如有）后，如理财计划未扣除浮动管理费前的净值为1.0615，此时，(1.0615÷1.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00-1)×365÷362=6.20%&gt;5.00%，即</w:t>
      </w:r>
      <w:r>
        <w:rPr>
          <w:rFonts w:hint="eastAsia" w:ascii="宋体" w:hAnsi="宋体" w:cs="宋体"/>
          <w:bCs/>
          <w:color w:val="000000"/>
          <w:sz w:val="24"/>
          <w:highlight w:val="none"/>
          <w:lang w:val="en-US" w:eastAsia="zh-CN"/>
        </w:rPr>
        <w:t>在</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4.00%-5.00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部分的</w:t>
      </w:r>
      <w:r>
        <w:rPr>
          <w:rFonts w:hint="eastAsia" w:ascii="宋体" w:hAnsi="宋体" w:cs="宋体"/>
          <w:bCs/>
          <w:color w:val="000000"/>
          <w:sz w:val="24"/>
          <w:highlight w:val="none"/>
        </w:rPr>
        <w:t>投资收益</w:t>
      </w:r>
      <w:r>
        <w:rPr>
          <w:rFonts w:hint="eastAsia" w:ascii="宋体" w:hAnsi="宋体" w:cs="宋体"/>
          <w:bCs/>
          <w:color w:val="000000"/>
          <w:sz w:val="24"/>
          <w:highlight w:val="none"/>
          <w:lang w:val="en-US" w:eastAsia="zh-CN"/>
        </w:rPr>
        <w:t>管理人收取80%作为浮动管理费，</w:t>
      </w:r>
      <w:r>
        <w:rPr>
          <w:rFonts w:hint="eastAsia" w:ascii="宋体" w:hAnsi="宋体" w:cs="宋体"/>
          <w:bCs/>
          <w:color w:val="000000"/>
          <w:sz w:val="24"/>
          <w:highlight w:val="none"/>
        </w:rPr>
        <w:t>超过〖5.00%〗</w:t>
      </w:r>
      <w:r>
        <w:rPr>
          <w:rFonts w:hint="eastAsia" w:ascii="宋体" w:hAnsi="宋体" w:cs="宋体"/>
          <w:bCs/>
          <w:color w:val="000000"/>
          <w:sz w:val="24"/>
          <w:highlight w:val="none"/>
          <w:lang w:val="en-US" w:eastAsia="zh-CN"/>
        </w:rPr>
        <w:t>部分的</w:t>
      </w:r>
      <w:r>
        <w:rPr>
          <w:rFonts w:hint="eastAsia" w:ascii="宋体" w:hAnsi="宋体" w:cs="宋体"/>
          <w:bCs/>
          <w:color w:val="000000"/>
          <w:sz w:val="24"/>
          <w:highlight w:val="none"/>
        </w:rPr>
        <w:t>投资</w:t>
      </w:r>
      <w:r>
        <w:rPr>
          <w:rFonts w:hint="eastAsia" w:ascii="宋体" w:hAnsi="宋体" w:cs="宋体"/>
          <w:bCs/>
          <w:color w:val="000000"/>
          <w:sz w:val="24"/>
          <w:highlight w:val="none"/>
          <w:lang w:val="en-US" w:eastAsia="zh-CN"/>
        </w:rPr>
        <w:t>收益管理人收取100%作为</w:t>
      </w:r>
      <w:r>
        <w:rPr>
          <w:rFonts w:hint="eastAsia" w:ascii="宋体" w:hAnsi="宋体" w:cs="宋体"/>
          <w:bCs/>
          <w:color w:val="000000"/>
          <w:sz w:val="24"/>
          <w:highlight w:val="none"/>
        </w:rPr>
        <w:t>浮动管理费，浮动管理费为：</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100</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000×</w:t>
      </w:r>
      <w:r>
        <w:rPr>
          <w:rFonts w:hint="eastAsia" w:ascii="宋体" w:hAnsi="宋体" w:cs="宋体"/>
          <w:bCs/>
          <w:color w:val="000000"/>
          <w:sz w:val="24"/>
          <w:highlight w:val="none"/>
          <w:lang w:val="en-US" w:eastAsia="zh-CN"/>
        </w:rPr>
        <w:t>1.0000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1.0615÷</w:t>
      </w:r>
      <w:r>
        <w:rPr>
          <w:rFonts w:hint="eastAsia" w:ascii="宋体" w:hAnsi="宋体" w:cs="宋体"/>
          <w:bCs/>
          <w:color w:val="000000"/>
          <w:sz w:val="24"/>
          <w:highlight w:val="none"/>
          <w:lang w:val="en-US" w:eastAsia="zh-CN"/>
        </w:rPr>
        <w:t>1.0000-1</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365</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362-5.00%]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100</w:t>
      </w:r>
      <w:r>
        <w:rPr>
          <w:rFonts w:hint="eastAsia" w:ascii="宋体" w:hAnsi="宋体" w:cs="宋体"/>
          <w:bCs/>
          <w:color w:val="000000"/>
          <w:sz w:val="24"/>
          <w:highlight w:val="none"/>
        </w:rPr>
        <w:t>%+(5</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%-4</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%)×80%</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×362÷365=</w:t>
      </w:r>
      <w:r>
        <w:rPr>
          <w:rFonts w:hint="eastAsia" w:ascii="宋体" w:hAnsi="宋体" w:cs="宋体"/>
          <w:bCs/>
          <w:color w:val="000000"/>
          <w:sz w:val="24"/>
          <w:highlight w:val="none"/>
          <w:lang w:val="en-US" w:eastAsia="zh-CN"/>
        </w:rPr>
        <w:t>1,984.52</w:t>
      </w:r>
      <w:r>
        <w:rPr>
          <w:rFonts w:hint="eastAsia" w:ascii="宋体" w:hAnsi="宋体" w:cs="宋体"/>
          <w:bCs/>
          <w:color w:val="000000"/>
          <w:sz w:val="24"/>
          <w:highlight w:val="none"/>
        </w:rPr>
        <w:t>（元）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扣除浮动管理费后，投资者最终收益为：</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w:t>
      </w:r>
      <w:r>
        <w:rPr>
          <w:rFonts w:hint="eastAsia" w:ascii="宋体" w:hAnsi="宋体" w:cs="宋体"/>
          <w:bCs/>
          <w:color w:val="000000"/>
          <w:sz w:val="24"/>
          <w:highlight w:val="none"/>
          <w:lang w:val="en-US" w:eastAsia="zh-CN"/>
        </w:rPr>
        <w:t>0</w:t>
      </w:r>
      <w:r>
        <w:rPr>
          <w:rFonts w:hint="eastAsia" w:ascii="宋体" w:hAnsi="宋体" w:cs="宋体"/>
          <w:bCs/>
          <w:color w:val="000000"/>
          <w:sz w:val="24"/>
          <w:highlight w:val="none"/>
        </w:rPr>
        <w:t>0,000.00×（1.0615-1.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00）-1,984.52= 4,165.48（元）</w:t>
      </w:r>
    </w:p>
    <w:p>
      <w:pPr>
        <w:numPr>
          <w:ilvl w:val="0"/>
          <w:numId w:val="33"/>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二</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扣除托管费、固定管理费、销售服务费（如有）后，投资收益率超过</w:t>
      </w:r>
      <w:r>
        <w:rPr>
          <w:rFonts w:hint="eastAsia" w:ascii="宋体" w:hAnsi="宋体" w:cs="宋体"/>
          <w:b/>
          <w:color w:val="000000"/>
          <w:sz w:val="24"/>
          <w:highlight w:val="none"/>
          <w:lang w:val="en-US" w:eastAsia="zh-CN"/>
        </w:rPr>
        <w:t>业绩比较基准下限</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但未达到业绩比较基准上限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eastAsia="宋体" w:cs="宋体"/>
          <w:bCs/>
          <w:color w:val="000000"/>
          <w:sz w:val="24"/>
          <w:highlight w:val="none"/>
          <w:lang w:val="en-US" w:eastAsia="zh-CN"/>
        </w:rPr>
      </w:pPr>
      <w:r>
        <w:rPr>
          <w:rFonts w:hint="eastAsia" w:ascii="宋体" w:hAnsi="宋体" w:cs="宋体"/>
          <w:bCs/>
          <w:color w:val="000000"/>
          <w:sz w:val="24"/>
          <w:highlight w:val="none"/>
        </w:rPr>
        <w:t>以某投资者投资10万元为例，假设购买时理财计划净值为1.0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lang w:val="en-US" w:eastAsia="zh-CN"/>
        </w:rPr>
        <w:t>如</w:t>
      </w:r>
      <w:r>
        <w:rPr>
          <w:rFonts w:hint="eastAsia" w:ascii="宋体" w:hAnsi="宋体" w:cs="宋体"/>
          <w:bCs/>
          <w:color w:val="000000"/>
          <w:sz w:val="24"/>
          <w:highlight w:val="none"/>
        </w:rPr>
        <w:t>理财计划未扣除浮动管理费前的净值为1.0415，此时，(1.0</w:t>
      </w:r>
      <w:r>
        <w:rPr>
          <w:rFonts w:hint="eastAsia" w:ascii="宋体" w:hAnsi="宋体" w:cs="宋体"/>
          <w:bCs/>
          <w:color w:val="000000"/>
          <w:sz w:val="24"/>
          <w:highlight w:val="none"/>
          <w:lang w:val="en-US" w:eastAsia="zh-CN"/>
        </w:rPr>
        <w:t>4</w:t>
      </w:r>
      <w:r>
        <w:rPr>
          <w:rFonts w:hint="eastAsia" w:ascii="宋体" w:hAnsi="宋体" w:cs="宋体"/>
          <w:bCs/>
          <w:color w:val="000000"/>
          <w:sz w:val="24"/>
          <w:highlight w:val="none"/>
        </w:rPr>
        <w:t>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00-1)×365÷362=4.18%，即投资收益超过〖4.00%〗</w:t>
      </w:r>
      <w:r>
        <w:rPr>
          <w:rFonts w:hint="eastAsia" w:ascii="宋体" w:hAnsi="宋体" w:cs="宋体"/>
          <w:bCs/>
          <w:color w:val="000000"/>
          <w:sz w:val="24"/>
          <w:highlight w:val="none"/>
          <w:lang w:val="en-US" w:eastAsia="zh-CN"/>
        </w:rPr>
        <w:t>但未达到</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5</w:t>
      </w:r>
      <w:r>
        <w:rPr>
          <w:rFonts w:hint="eastAsia" w:ascii="宋体" w:hAnsi="宋体" w:cs="宋体"/>
          <w:bCs/>
          <w:color w:val="000000"/>
          <w:sz w:val="24"/>
          <w:highlight w:val="none"/>
        </w:rPr>
        <w:t>.00%〗，则超过〖4.00%〗部分</w:t>
      </w:r>
      <w:r>
        <w:rPr>
          <w:rFonts w:hint="eastAsia" w:ascii="宋体" w:hAnsi="宋体" w:cs="宋体"/>
          <w:bCs/>
          <w:color w:val="000000"/>
          <w:sz w:val="24"/>
          <w:highlight w:val="none"/>
          <w:lang w:val="en-US" w:eastAsia="zh-CN"/>
        </w:rPr>
        <w:t>的</w:t>
      </w:r>
      <w:r>
        <w:rPr>
          <w:rFonts w:hint="eastAsia" w:ascii="宋体" w:hAnsi="宋体" w:cs="宋体"/>
          <w:bCs/>
          <w:color w:val="000000"/>
          <w:sz w:val="24"/>
          <w:highlight w:val="none"/>
        </w:rPr>
        <w:t>投资收益管理人收取</w:t>
      </w:r>
      <w:r>
        <w:rPr>
          <w:rFonts w:hint="eastAsia" w:ascii="宋体" w:hAnsi="宋体" w:cs="宋体"/>
          <w:bCs/>
          <w:color w:val="000000"/>
          <w:sz w:val="24"/>
          <w:highlight w:val="none"/>
          <w:lang w:val="en-US" w:eastAsia="zh-CN"/>
        </w:rPr>
        <w:t>80%作为</w:t>
      </w:r>
      <w:r>
        <w:rPr>
          <w:rFonts w:hint="eastAsia" w:ascii="宋体" w:hAnsi="宋体" w:cs="宋体"/>
          <w:bCs/>
          <w:color w:val="000000"/>
          <w:sz w:val="24"/>
          <w:highlight w:val="none"/>
        </w:rPr>
        <w:t>浮动管理费，浮动管理费为：</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100,000.00×</w:t>
      </w:r>
      <w:r>
        <w:rPr>
          <w:rFonts w:hint="eastAsia" w:ascii="宋体" w:hAnsi="宋体" w:cs="宋体"/>
          <w:bCs/>
          <w:color w:val="000000"/>
          <w:sz w:val="24"/>
          <w:highlight w:val="none"/>
          <w:lang w:val="en-US" w:eastAsia="zh-CN"/>
        </w:rPr>
        <w:t>1.0000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1.0415÷</w:t>
      </w:r>
      <w:r>
        <w:rPr>
          <w:rFonts w:hint="eastAsia" w:ascii="宋体" w:hAnsi="宋体" w:cs="宋体"/>
          <w:bCs/>
          <w:color w:val="000000"/>
          <w:sz w:val="24"/>
          <w:highlight w:val="none"/>
          <w:lang w:val="en-US" w:eastAsia="zh-CN"/>
        </w:rPr>
        <w:t>1.0000-1)</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365</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362-4.00%]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80%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w:t>
      </w:r>
      <w:r>
        <w:rPr>
          <w:rFonts w:hint="eastAsia" w:ascii="宋体" w:hAnsi="宋体" w:cs="宋体"/>
          <w:bCs/>
          <w:color w:val="000000"/>
          <w:sz w:val="24"/>
          <w:highlight w:val="none"/>
        </w:rPr>
        <w:t>÷365=146.30（元）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扣除浮动管理费后，投资者最终收益为：</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100,000.00×（1.0415-1.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00）-146.30 =4</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003.70（元）</w:t>
      </w:r>
    </w:p>
    <w:p>
      <w:pPr>
        <w:numPr>
          <w:ilvl w:val="0"/>
          <w:numId w:val="33"/>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三</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扣除托管费、固定管理费、销售服务费（如有）后，投资收益率未达到〖</w:t>
      </w:r>
      <w:r>
        <w:rPr>
          <w:rFonts w:hint="eastAsia" w:ascii="宋体" w:hAnsi="宋体" w:cs="宋体"/>
          <w:b/>
          <w:color w:val="000000"/>
          <w:sz w:val="24"/>
          <w:highlight w:val="none"/>
          <w:lang w:val="en-US" w:eastAsia="zh-CN"/>
        </w:rPr>
        <w:t>业绩比较基准下限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到期时扣除托管费、固定管理费、销售服务费（如有）后，如理财计划未扣除浮动管理费前的净值为1.0362，此时，(1.0362÷1.00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-1)×365÷362=3.65%&lt;</w:t>
      </w:r>
      <w:r>
        <w:rPr>
          <w:rFonts w:hint="eastAsia" w:ascii="宋体" w:hAnsi="宋体" w:cs="宋体"/>
          <w:bCs/>
          <w:color w:val="000000"/>
          <w:sz w:val="24"/>
          <w:highlight w:val="none"/>
          <w:lang w:val="en-US" w:eastAsia="zh-CN"/>
        </w:rPr>
        <w:t>4</w:t>
      </w:r>
      <w:r>
        <w:rPr>
          <w:rFonts w:hint="eastAsia" w:ascii="宋体" w:hAnsi="宋体" w:cs="宋体"/>
          <w:bCs/>
          <w:color w:val="000000"/>
          <w:sz w:val="24"/>
          <w:highlight w:val="none"/>
        </w:rPr>
        <w:t>.00%，即投资收益未达到〖4.00%〗，则投资管理人不收取浮动管理费，投资者最终收益为：100,000.00×(1.0365-1.00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）=3,650.00（元）</w:t>
      </w:r>
    </w:p>
    <w:p>
      <w:pPr>
        <w:numPr>
          <w:ilvl w:val="0"/>
          <w:numId w:val="33"/>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四</w:t>
      </w:r>
    </w:p>
    <w:p>
      <w:pPr>
        <w:spacing w:line="360" w:lineRule="auto"/>
        <w:ind w:firstLine="482" w:firstLineChars="200"/>
        <w:jc w:val="left"/>
        <w:rPr>
          <w:rFonts w:hint="eastAsia" w:ascii="宋体" w:hAnsi="宋体" w:cs="宋体"/>
          <w:b/>
          <w:color w:val="000000"/>
          <w:sz w:val="24"/>
          <w:highlight w:val="none"/>
        </w:rPr>
      </w:pPr>
      <w:r>
        <w:rPr>
          <w:rFonts w:hint="eastAsia" w:ascii="宋体" w:hAnsi="宋体" w:cs="宋体"/>
          <w:b/>
          <w:color w:val="000000"/>
          <w:sz w:val="24"/>
          <w:highlight w:val="none"/>
        </w:rPr>
        <w:t>扣除托管费、固定管理费、销售服务费（如有）后，投资发生亏损。</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到期时扣除托管费、固定管理费、销售服务费（如有）后，如理财计划未扣除浮动管理费前的净值为0.9975，则投资管理人不收取浮动管理费，投资者最终收益为：100,000.00×（0.9975-1.00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）=-250.00（元）。</w:t>
      </w:r>
    </w:p>
    <w:p>
      <w:pPr>
        <w:numPr>
          <w:ilvl w:val="0"/>
          <w:numId w:val="3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最不利情况分析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由于市场波动导致投资资产贬值或者投资资产发生信用风险导致相应损失，使理财计划到期时投资收益达不到业绩基准，甚至不足以支付理财计划本金，届时理财资金将按照理财计划实际净值向投资者进行分配。但在此种情形下，理财计划保留向发生信用风险的投资资产发行主体进行追偿的法定权利，若这些权利在未来得以实现，在扣除相关费用后，将继续向投资者进行清偿。</w:t>
      </w:r>
    </w:p>
    <w:p>
      <w:pPr>
        <w:spacing w:line="360" w:lineRule="auto"/>
        <w:ind w:firstLine="480" w:firstLineChars="200"/>
        <w:jc w:val="left"/>
        <w:rPr>
          <w:rFonts w:hint="eastAsia" w:ascii="宋体" w:hAnsi="宋体" w:cs="宋体"/>
          <w:bCs/>
          <w:color w:val="000000"/>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交易规则</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认购</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在理财计划认购期内，个人投资者可通过网上银行等电子渠道或携带本人身份证件、借记卡至销售机构办理相关手续。机构投资者可通过网上银行等电子渠道或携带加盖单位公章的营业执照复印件、法人身份证件原件及复印件、《授权委托书》、被授权人身份证件原件及复印件及销售机构要求的其他资料到销售机构办理。</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理财计划认购期内，投资者可以对本理财计划进行认购、追加、撤单，相应投资资金将在投资者指定账户中冻结。</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如新增认购使得单一投资者持有份额比例超过理财计划总份额的50％，管理人将不再接受超出部分的认购申请。非因投资管理人主观因素导致突破前款规定比例限制的，在单一投资者持有比例降至50％以下之前，管理人将不再接受该投资者对该理财产品的认购申请。投资者持有份额的计算以管理人登记为准。</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成立</w:t>
      </w:r>
    </w:p>
    <w:p>
      <w:pPr>
        <w:numPr>
          <w:ilvl w:val="0"/>
          <w:numId w:val="3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销售机构有权以投资者的投资金额为限从投资者理财账户中进行资金扣划，无需投资者另行授权。</w:t>
      </w:r>
    </w:p>
    <w:p>
      <w:pPr>
        <w:numPr>
          <w:ilvl w:val="0"/>
          <w:numId w:val="36"/>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管理人将在理财计划成立日对认购期的认购及追加申请进行确认和划款。</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申购及赎回</w:t>
      </w:r>
    </w:p>
    <w:p>
      <w:pPr>
        <w:spacing w:line="360" w:lineRule="auto"/>
        <w:ind w:firstLine="480" w:firstLineChars="200"/>
        <w:jc w:val="left"/>
        <w:rPr>
          <w:rFonts w:ascii="宋体" w:hAnsi="宋体" w:cs="宋体"/>
          <w:b/>
          <w:sz w:val="24"/>
          <w:highlight w:val="none"/>
        </w:rPr>
      </w:pPr>
      <w:r>
        <w:rPr>
          <w:rFonts w:hint="eastAsia" w:ascii="宋体" w:hAnsi="宋体" w:cs="宋体"/>
          <w:bCs/>
          <w:sz w:val="24"/>
          <w:highlight w:val="none"/>
        </w:rPr>
        <w:t>本理财计划封闭式运作，存续期间不开放申购和赎回。</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到期清算</w:t>
      </w:r>
    </w:p>
    <w:p>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正常到期清算：本理财计划终止后，管理人将按照清算后的资产净值按持有份额比例对投资者进行分配，并通过销售机构最快〖1〗个工作日、最晚〖3〗个工作日内（遇节假日顺延）将资金按规定的要求划入投资者授权指定的理财账户。（具体以销售机构规定为准）</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提前终止</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在理财计划期限内，管理人根据投资情况有提前终止权，于本理财计划提前终止日前</w:t>
      </w:r>
      <w:r>
        <w:rPr>
          <w:rFonts w:hint="eastAsia" w:ascii="宋体" w:hAnsi="宋体" w:cs="宋体"/>
          <w:sz w:val="24"/>
          <w:highlight w:val="none"/>
        </w:rPr>
        <w:t>〖</w:t>
      </w:r>
      <w:r>
        <w:rPr>
          <w:rFonts w:hint="eastAsia" w:ascii="宋体" w:hAnsi="宋体" w:cs="宋体"/>
          <w:bCs/>
          <w:sz w:val="24"/>
          <w:highlight w:val="none"/>
        </w:rPr>
        <w:t>2</w:t>
      </w:r>
      <w:r>
        <w:rPr>
          <w:rFonts w:hint="eastAsia" w:ascii="宋体" w:hAnsi="宋体" w:cs="宋体"/>
          <w:bCs/>
          <w:color w:val="000000"/>
          <w:sz w:val="24"/>
          <w:highlight w:val="none"/>
        </w:rPr>
        <w:t>〗</w:t>
      </w:r>
      <w:r>
        <w:rPr>
          <w:rFonts w:hint="eastAsia" w:ascii="宋体" w:hAnsi="宋体" w:cs="宋体"/>
          <w:bCs/>
          <w:sz w:val="24"/>
          <w:highlight w:val="none"/>
        </w:rPr>
        <w:t>个工作日通过管理人或销售机构发布提前终止公告，并于终止日后</w:t>
      </w:r>
      <w:r>
        <w:rPr>
          <w:rFonts w:hint="eastAsia" w:ascii="宋体" w:hAnsi="宋体" w:cs="宋体"/>
          <w:sz w:val="24"/>
          <w:highlight w:val="none"/>
        </w:rPr>
        <w:t>〖</w:t>
      </w:r>
      <w:r>
        <w:rPr>
          <w:rFonts w:hint="eastAsia" w:ascii="宋体" w:hAnsi="宋体" w:cs="宋体"/>
          <w:sz w:val="24"/>
          <w:szCs w:val="24"/>
          <w:highlight w:val="none"/>
        </w:rPr>
        <w:t>3</w:t>
      </w:r>
      <w:r>
        <w:rPr>
          <w:rFonts w:hint="eastAsia" w:ascii="宋体" w:hAnsi="宋体" w:cs="宋体"/>
          <w:bCs/>
          <w:color w:val="000000"/>
          <w:sz w:val="24"/>
          <w:highlight w:val="none"/>
        </w:rPr>
        <w:t>〗</w:t>
      </w:r>
      <w:r>
        <w:rPr>
          <w:rFonts w:hint="eastAsia" w:ascii="宋体" w:hAnsi="宋体" w:cs="宋体"/>
          <w:bCs/>
          <w:sz w:val="24"/>
          <w:highlight w:val="none"/>
        </w:rPr>
        <w:t>个工作日内将可兑付款项按规定的要求划入投资者授权指定的理财账户。终止日至资金实际到账日之间，投资者资金不计息。</w:t>
      </w:r>
    </w:p>
    <w:p>
      <w:pPr>
        <w:spacing w:line="360" w:lineRule="auto"/>
        <w:ind w:firstLine="482" w:firstLineChars="200"/>
        <w:jc w:val="left"/>
        <w:rPr>
          <w:rFonts w:hint="eastAsia" w:ascii="宋体" w:hAnsi="宋体" w:cs="宋体"/>
          <w:b/>
          <w:sz w:val="24"/>
          <w:highlight w:val="none"/>
        </w:rPr>
      </w:pPr>
      <w:r>
        <w:rPr>
          <w:rFonts w:hint="eastAsia" w:ascii="宋体" w:hAnsi="宋体" w:cs="宋体"/>
          <w:b/>
          <w:sz w:val="24"/>
          <w:highlight w:val="none"/>
        </w:rPr>
        <w:t>如发生以下事项时，管理人可对本理财计划行使全部或部分提前终止权：</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如因本理财计划资产运作模式等与法律法规、规章的规定或者监管部门的要求等存在冲突导致理财计划必须提前终止的。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国家有关法律、法规、规章、政策的改变、紧急措施的出台、理财市场环境发生重大变化等导致理财计划必须提前终止的。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因不可抗力因素导致本理财计划必须提前终止的。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理财计划的投资策略已不适合当前的市场环境的。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融资人行使提前到期或还款权利的。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管理人认为应该提前终止的其他情形。</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延期</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由于可能存在如下情况，导致本理财计划无法将资产及时、足额变现，管理人将本着投资者利益最大化的原则，根据实际情况选择分次清算、兑付或延期兑付；如发生前述情况，管理人将公布相关兑付方案，提请投资者注意，具体情况包括但不限于：</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预计在理财计划预计到期日，理财计划资产因市场风险、信用风险等原因无法全部变现。</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预计理财计划所投资的信托计划、资管计划、私募基金的受托人或管理人不能按时向管理人划付理财计划的本金和收益。</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理财计划财产涉及诉讼或仲裁，且预计诉讼或仲裁执行程序于理财计划到期日尚未终结。</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管理人与托管人、销售机构协商一致决定延期。</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法律法规规定的或管理人认为有必要延期的其他情形。</w:t>
      </w:r>
    </w:p>
    <w:p>
      <w:pPr>
        <w:spacing w:line="360" w:lineRule="auto"/>
        <w:jc w:val="left"/>
        <w:rPr>
          <w:rFonts w:ascii="宋体" w:hAnsi="宋体" w:cs="宋体"/>
          <w:b/>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信息披露</w:t>
      </w:r>
    </w:p>
    <w:p>
      <w:pPr>
        <w:numPr>
          <w:ilvl w:val="0"/>
          <w:numId w:val="39"/>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披露内容及时间</w:t>
      </w:r>
    </w:p>
    <w:p>
      <w:pPr>
        <w:numPr>
          <w:ilvl w:val="0"/>
          <w:numId w:val="40"/>
        </w:numPr>
        <w:spacing w:line="360" w:lineRule="auto"/>
        <w:jc w:val="left"/>
        <w:rPr>
          <w:rFonts w:hint="eastAsia" w:ascii="宋体" w:hAnsi="宋体" w:cs="宋体"/>
          <w:b/>
          <w:sz w:val="24"/>
          <w:highlight w:val="none"/>
        </w:rPr>
      </w:pPr>
      <w:r>
        <w:rPr>
          <w:rFonts w:hint="eastAsia" w:ascii="宋体" w:hAnsi="宋体" w:cs="宋体"/>
          <w:b/>
          <w:sz w:val="24"/>
          <w:highlight w:val="none"/>
        </w:rPr>
        <w:t>认购信息披露</w:t>
      </w:r>
    </w:p>
    <w:p>
      <w:pPr>
        <w:numPr>
          <w:ilvl w:val="0"/>
          <w:numId w:val="41"/>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理财计划合同：管理人应在正式办理理财计划份额认购前披露，包括但不限于理财计划风险揭示书、理财计划产品说明书、投资者权益须知、理财计划投资协议书以及理财计划销售协议书。</w:t>
      </w:r>
    </w:p>
    <w:p>
      <w:pPr>
        <w:numPr>
          <w:ilvl w:val="0"/>
          <w:numId w:val="41"/>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发行公告：管理人应在理财计划成立日后3个工作日内披露，包括成立日期、募集规模等信息。</w:t>
      </w:r>
    </w:p>
    <w:p>
      <w:pPr>
        <w:numPr>
          <w:ilvl w:val="0"/>
          <w:numId w:val="40"/>
        </w:numPr>
        <w:spacing w:line="360" w:lineRule="auto"/>
        <w:jc w:val="left"/>
        <w:rPr>
          <w:rFonts w:hint="eastAsia" w:ascii="宋体" w:hAnsi="宋体" w:cs="宋体"/>
          <w:b/>
          <w:sz w:val="24"/>
          <w:highlight w:val="none"/>
        </w:rPr>
      </w:pPr>
      <w:r>
        <w:rPr>
          <w:rFonts w:hint="eastAsia" w:ascii="宋体" w:hAnsi="宋体" w:cs="宋体"/>
          <w:b/>
          <w:sz w:val="24"/>
          <w:highlight w:val="none"/>
        </w:rPr>
        <w:t>运作信息披露</w:t>
      </w:r>
    </w:p>
    <w:p>
      <w:pPr>
        <w:numPr>
          <w:ilvl w:val="0"/>
          <w:numId w:val="42"/>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理财计划净值：管理人应在理财计划成立后，每周披露一次净值。</w:t>
      </w:r>
    </w:p>
    <w:p>
      <w:pPr>
        <w:numPr>
          <w:ilvl w:val="0"/>
          <w:numId w:val="42"/>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定期报告：管理人应当在每季度结束之日起15个工作日、上半年结束之日起60个工作日内、每年结束之日起90个工作日内编制完成理财计划的季度、半年和年度报告等运行报告，披露投资状况、投资表现、风险状况等信息，包括但不限于本理财计划投资的资产种类、投资比例、投资组合的流动性风险分析。</w:t>
      </w:r>
    </w:p>
    <w:p>
      <w:pPr>
        <w:numPr>
          <w:ilvl w:val="0"/>
          <w:numId w:val="0"/>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如本理财计划成立不足90个工作日或剩余存续期不超过90个工作日的，管理人可不编制当期的季度、半年和年度报告等运行报告。</w:t>
      </w:r>
    </w:p>
    <w:p>
      <w:pPr>
        <w:numPr>
          <w:ilvl w:val="0"/>
          <w:numId w:val="42"/>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到期报告：管理人应在理财计划到期后5个工作日内披露，包括存续期限、到期兑付净值、收益分配情况等信息。</w:t>
      </w:r>
    </w:p>
    <w:p>
      <w:pPr>
        <w:numPr>
          <w:ilvl w:val="0"/>
          <w:numId w:val="40"/>
        </w:numPr>
        <w:spacing w:line="360" w:lineRule="auto"/>
        <w:jc w:val="left"/>
        <w:rPr>
          <w:rFonts w:hint="eastAsia" w:ascii="宋体" w:hAnsi="宋体" w:cs="宋体"/>
          <w:b/>
          <w:sz w:val="24"/>
          <w:highlight w:val="none"/>
        </w:rPr>
      </w:pPr>
      <w:r>
        <w:rPr>
          <w:rFonts w:hint="eastAsia" w:ascii="宋体" w:hAnsi="宋体" w:cs="宋体"/>
          <w:b/>
          <w:sz w:val="24"/>
          <w:highlight w:val="none"/>
        </w:rPr>
        <w:t>临时信息披露</w:t>
      </w:r>
    </w:p>
    <w:p>
      <w:pPr>
        <w:numPr>
          <w:ilvl w:val="0"/>
          <w:numId w:val="43"/>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重大事项公告：管理人应在运用收取短期赎回费、摆动定价等措施后，3个交易日内发布相关事项公告；应在运用暂停认购、延期办理巨额赎回申请、暂停接受赎回申请、延缓支付赎回款项、暂停理财产品估值等措施后，3个交易日内发布相关事项公告，说明运用相关措施的原因、拟采取的应对安排等；应在发生可能对理财计划投资者或者理财计划收益产生重大事项的事件后2个工作日内发布重大事项公告。</w:t>
      </w:r>
    </w:p>
    <w:p>
      <w:pPr>
        <w:numPr>
          <w:ilvl w:val="0"/>
          <w:numId w:val="43"/>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临时公告：管理人应当及时披露除重大事项以外的其他信息，包括但不限于理财计划终止、更换理财计划管理人和托管人、涉及理财计划管理业务的重大诉讼、涉及费率相关事项的变动、理财计划延期兑付等。</w:t>
      </w:r>
    </w:p>
    <w:p>
      <w:pPr>
        <w:numPr>
          <w:ilvl w:val="0"/>
          <w:numId w:val="39"/>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披露方式</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信息将通过管理人或销售机构官方网站进行披露，请投资者及时关注。如在本理财计划在运作管理过程中，发生可能对理财计划份额持有人权益产生重大影响的事项时，管理人可视情况选择以下一种或多种途径告知投资者：管理人或销售机构官方网站、营业网点、邮件、电话、手机短信等。投资者同意管理人通过前述任意一种或多种途径进行信息披露。如因投资者未及时查询理财计划信息或非管理人、销售机构原因导致的系统故障及其他不可抗力因素影响导致投资者未及时了解理财计划信息，因此而产生的风险（包括但不限于因未及时获知信息而错过资金使用及再投资的机会等）由投资者承担，请审慎决定。</w:t>
      </w:r>
    </w:p>
    <w:p>
      <w:pPr>
        <w:spacing w:line="360" w:lineRule="auto"/>
        <w:ind w:left="420"/>
        <w:jc w:val="left"/>
        <w:rPr>
          <w:rFonts w:hint="eastAsia" w:ascii="宋体" w:hAnsi="宋体" w:cs="宋体"/>
          <w:b/>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其他</w:t>
      </w:r>
    </w:p>
    <w:p>
      <w:pPr>
        <w:numPr>
          <w:ilvl w:val="0"/>
          <w:numId w:val="4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追索条款</w:t>
      </w:r>
    </w:p>
    <w:p>
      <w:p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若本理财计划所投资的金融资产到期不能全部偿付导致资产减值甚至本金大幅损失，则本公司将以管理人名义，代表投资者利益行使诉讼权利或者实施其他法律行为。</w:t>
      </w:r>
    </w:p>
    <w:p>
      <w:pPr>
        <w:numPr>
          <w:ilvl w:val="0"/>
          <w:numId w:val="44"/>
        </w:numPr>
        <w:tabs>
          <w:tab w:val="left" w:pos="6090"/>
        </w:tabs>
        <w:spacing w:line="360" w:lineRule="auto"/>
        <w:jc w:val="left"/>
        <w:outlineLvl w:val="2"/>
        <w:rPr>
          <w:rFonts w:hint="eastAsia" w:ascii="宋体" w:hAnsi="宋体" w:cs="宋体"/>
          <w:b/>
          <w:sz w:val="24"/>
          <w:highlight w:val="none"/>
        </w:rPr>
      </w:pPr>
      <w:r>
        <w:rPr>
          <w:rFonts w:hint="eastAsia" w:ascii="宋体" w:hAnsi="宋体" w:cs="宋体"/>
          <w:b/>
          <w:sz w:val="24"/>
          <w:highlight w:val="none"/>
        </w:rPr>
        <w:t>信息安全</w:t>
      </w:r>
    </w:p>
    <w:p>
      <w:p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管理人应就理财计划销售过程中获知的投资者信息承担保密义务。非经投资者事先许可，不得向第三方披露，但法律法规或监管规定另有要求的除外。投资者在此同意并授权，管理人可根据监管要求，为理财计划登记等需要，向登记部门或监管机构提供投资者相关信息，授权使用时限与履行相关法律法规和监管要求的必要时限一致。</w:t>
      </w:r>
    </w:p>
    <w:p>
      <w:pPr>
        <w:numPr>
          <w:ilvl w:val="0"/>
          <w:numId w:val="4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争议解决</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合同的订立、生效、履行、解释、修改和终止等事项均适用中华人民共和国（仅为明确本合同适用法律规则，不含香港特别行政区、澳门特别行政区及中国台湾地区）法律。因本合同引起的或与本合同有关的任何争议，应当首先通过双方之间的友好协商解决；协商不成的，双方均有权提交被告人所在地有管辖权的人民法院诉讼解决。</w:t>
      </w:r>
    </w:p>
    <w:p>
      <w:pPr>
        <w:numPr>
          <w:ilvl w:val="0"/>
          <w:numId w:val="4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特别提示</w:t>
      </w:r>
    </w:p>
    <w:p>
      <w:pPr>
        <w:spacing w:line="360" w:lineRule="auto"/>
        <w:ind w:firstLine="482" w:firstLineChars="200"/>
        <w:rPr>
          <w:rFonts w:hint="eastAsia" w:ascii="宋体" w:hAnsi="宋体" w:cs="宋体"/>
          <w:b/>
          <w:color w:val="000000"/>
          <w:sz w:val="24"/>
          <w:highlight w:val="none"/>
        </w:rPr>
      </w:pPr>
      <w:r>
        <w:rPr>
          <w:rFonts w:hint="eastAsia" w:ascii="宋体" w:hAnsi="宋体" w:cs="宋体"/>
          <w:b/>
          <w:color w:val="000000"/>
          <w:sz w:val="24"/>
          <w:highlight w:val="none"/>
        </w:rPr>
        <w:t>本理财计划为非保本净值型理财产品，业绩比较基准不代表本理财计划单位份额收益必定达到该标准，管理人不对本理财计划承诺保本或保证收益。投资者本金可能会因市场变动及上述风险因素而蒙受损失。投资者应充分认识投资风险，谨慎投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管理人将恪守勤勉尽责的原则，合理配置财产组合，为投资者提供专业化的理财服务。投资者应密切关注管理人与本理财计划有关的信息披露，以免造成不必要的损失。投资者因自身原因或不可抗力导致未及时获知本理财计划的运作或收益分配情况，管理人不承担任何责任。</w:t>
      </w:r>
    </w:p>
    <w:p>
      <w:pPr>
        <w:jc w:val="both"/>
        <w:outlineLvl w:val="9"/>
        <w:rPr>
          <w:rFonts w:hint="eastAsia" w:ascii="Calibri" w:hAnsi="Calibri" w:eastAsia="宋体" w:cs="黑体"/>
          <w:b/>
          <w:bCs w:val="0"/>
          <w:sz w:val="44"/>
          <w:szCs w:val="44"/>
          <w:highlight w:val="none"/>
          <w:lang w:val="en-US" w:eastAsia="zh-CN"/>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3557F"/>
    <w:multiLevelType w:val="singleLevel"/>
    <w:tmpl w:val="8493557F"/>
    <w:lvl w:ilvl="0" w:tentative="0">
      <w:start w:val="2"/>
      <w:numFmt w:val="decimal"/>
      <w:suff w:val="nothing"/>
      <w:lvlText w:val="%1．"/>
      <w:lvlJc w:val="left"/>
      <w:pPr>
        <w:ind w:left="0" w:firstLine="403"/>
      </w:pPr>
      <w:rPr>
        <w:rFonts w:hint="default" w:ascii="宋体" w:hAnsi="宋体" w:eastAsia="宋体" w:cs="宋体"/>
        <w:b w:val="0"/>
        <w:bCs w:val="0"/>
      </w:rPr>
    </w:lvl>
  </w:abstractNum>
  <w:abstractNum w:abstractNumId="1">
    <w:nsid w:val="8723FD40"/>
    <w:multiLevelType w:val="singleLevel"/>
    <w:tmpl w:val="8723FD40"/>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2">
    <w:nsid w:val="8906C252"/>
    <w:multiLevelType w:val="singleLevel"/>
    <w:tmpl w:val="8906C252"/>
    <w:lvl w:ilvl="0" w:tentative="0">
      <w:start w:val="1"/>
      <w:numFmt w:val="decimal"/>
      <w:suff w:val="nothing"/>
      <w:lvlText w:val="（%1）"/>
      <w:lvlJc w:val="left"/>
      <w:rPr>
        <w:rFonts w:hint="default"/>
        <w:b w:val="0"/>
        <w:bCs w:val="0"/>
      </w:rPr>
    </w:lvl>
  </w:abstractNum>
  <w:abstractNum w:abstractNumId="3">
    <w:nsid w:val="8A1865EC"/>
    <w:multiLevelType w:val="singleLevel"/>
    <w:tmpl w:val="8A1865EC"/>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8CBA9D88"/>
    <w:multiLevelType w:val="singleLevel"/>
    <w:tmpl w:val="8CBA9D88"/>
    <w:lvl w:ilvl="0" w:tentative="0">
      <w:start w:val="1"/>
      <w:numFmt w:val="decimal"/>
      <w:suff w:val="nothing"/>
      <w:lvlText w:val="%1．"/>
      <w:lvlJc w:val="left"/>
      <w:pPr>
        <w:ind w:left="0" w:firstLine="400"/>
      </w:pPr>
      <w:rPr>
        <w:rFonts w:hint="default" w:ascii="宋体" w:hAnsi="宋体" w:eastAsia="宋体" w:cs="宋体"/>
      </w:rPr>
    </w:lvl>
  </w:abstractNum>
  <w:abstractNum w:abstractNumId="5">
    <w:nsid w:val="8D0ECC14"/>
    <w:multiLevelType w:val="singleLevel"/>
    <w:tmpl w:val="8D0ECC14"/>
    <w:lvl w:ilvl="0" w:tentative="0">
      <w:start w:val="2"/>
      <w:numFmt w:val="chineseCounting"/>
      <w:suff w:val="nothing"/>
      <w:lvlText w:val="（%1）"/>
      <w:lvlJc w:val="left"/>
      <w:pPr>
        <w:ind w:left="0" w:firstLine="420"/>
      </w:pPr>
      <w:rPr>
        <w:rFonts w:hint="eastAsia"/>
      </w:rPr>
    </w:lvl>
  </w:abstractNum>
  <w:abstractNum w:abstractNumId="6">
    <w:nsid w:val="8D2AB5FD"/>
    <w:multiLevelType w:val="singleLevel"/>
    <w:tmpl w:val="8D2AB5FD"/>
    <w:lvl w:ilvl="0" w:tentative="0">
      <w:start w:val="1"/>
      <w:numFmt w:val="chineseCounting"/>
      <w:suff w:val="nothing"/>
      <w:lvlText w:val="（%1）"/>
      <w:lvlJc w:val="left"/>
      <w:pPr>
        <w:ind w:left="0" w:firstLine="420"/>
      </w:pPr>
      <w:rPr>
        <w:rFonts w:hint="eastAsia"/>
      </w:rPr>
    </w:lvl>
  </w:abstractNum>
  <w:abstractNum w:abstractNumId="7">
    <w:nsid w:val="8FC09253"/>
    <w:multiLevelType w:val="singleLevel"/>
    <w:tmpl w:val="8FC09253"/>
    <w:lvl w:ilvl="0" w:tentative="0">
      <w:start w:val="3"/>
      <w:numFmt w:val="chineseCounting"/>
      <w:suff w:val="nothing"/>
      <w:lvlText w:val="%1、"/>
      <w:lvlJc w:val="left"/>
      <w:pPr>
        <w:ind w:left="-420" w:firstLine="420"/>
      </w:pPr>
      <w:rPr>
        <w:rFonts w:hint="eastAsia"/>
      </w:rPr>
    </w:lvl>
  </w:abstractNum>
  <w:abstractNum w:abstractNumId="8">
    <w:nsid w:val="93980280"/>
    <w:multiLevelType w:val="singleLevel"/>
    <w:tmpl w:val="93980280"/>
    <w:lvl w:ilvl="0" w:tentative="0">
      <w:start w:val="5"/>
      <w:numFmt w:val="chineseCounting"/>
      <w:suff w:val="nothing"/>
      <w:lvlText w:val="%1、"/>
      <w:lvlJc w:val="left"/>
      <w:pPr>
        <w:ind w:left="-420" w:firstLine="420"/>
      </w:pPr>
      <w:rPr>
        <w:rFonts w:hint="eastAsia"/>
      </w:rPr>
    </w:lvl>
  </w:abstractNum>
  <w:abstractNum w:abstractNumId="9">
    <w:nsid w:val="9E10E19D"/>
    <w:multiLevelType w:val="singleLevel"/>
    <w:tmpl w:val="9E10E19D"/>
    <w:lvl w:ilvl="0" w:tentative="0">
      <w:start w:val="1"/>
      <w:numFmt w:val="chineseCounting"/>
      <w:suff w:val="nothing"/>
      <w:lvlText w:val="（%1）"/>
      <w:lvlJc w:val="left"/>
      <w:pPr>
        <w:ind w:left="0" w:firstLine="420"/>
      </w:pPr>
      <w:rPr>
        <w:rFonts w:hint="eastAsia"/>
      </w:rPr>
    </w:lvl>
  </w:abstractNum>
  <w:abstractNum w:abstractNumId="10">
    <w:nsid w:val="9E4A8FE0"/>
    <w:multiLevelType w:val="singleLevel"/>
    <w:tmpl w:val="9E4A8FE0"/>
    <w:lvl w:ilvl="0" w:tentative="0">
      <w:start w:val="1"/>
      <w:numFmt w:val="decimal"/>
      <w:suff w:val="nothing"/>
      <w:lvlText w:val="%1．"/>
      <w:lvlJc w:val="left"/>
      <w:pPr>
        <w:ind w:left="0" w:firstLine="400"/>
      </w:pPr>
      <w:rPr>
        <w:rFonts w:hint="default"/>
        <w:b/>
        <w:bCs/>
      </w:rPr>
    </w:lvl>
  </w:abstractNum>
  <w:abstractNum w:abstractNumId="11">
    <w:nsid w:val="9F173FD6"/>
    <w:multiLevelType w:val="singleLevel"/>
    <w:tmpl w:val="9F173FD6"/>
    <w:lvl w:ilvl="0" w:tentative="0">
      <w:start w:val="1"/>
      <w:numFmt w:val="decimal"/>
      <w:suff w:val="nothing"/>
      <w:lvlText w:val="%1．"/>
      <w:lvlJc w:val="left"/>
      <w:pPr>
        <w:ind w:left="0" w:firstLine="400"/>
      </w:pPr>
      <w:rPr>
        <w:rFonts w:hint="default"/>
      </w:rPr>
    </w:lvl>
  </w:abstractNum>
  <w:abstractNum w:abstractNumId="12">
    <w:nsid w:val="AAB48CF5"/>
    <w:multiLevelType w:val="singleLevel"/>
    <w:tmpl w:val="AAB48CF5"/>
    <w:lvl w:ilvl="0" w:tentative="0">
      <w:start w:val="1"/>
      <w:numFmt w:val="decimal"/>
      <w:suff w:val="nothing"/>
      <w:lvlText w:val="%1．"/>
      <w:lvlJc w:val="left"/>
      <w:pPr>
        <w:ind w:left="0" w:firstLine="400"/>
      </w:pPr>
      <w:rPr>
        <w:rFonts w:hint="default"/>
      </w:rPr>
    </w:lvl>
  </w:abstractNum>
  <w:abstractNum w:abstractNumId="13">
    <w:nsid w:val="B74CE87F"/>
    <w:multiLevelType w:val="singleLevel"/>
    <w:tmpl w:val="B74CE87F"/>
    <w:lvl w:ilvl="0" w:tentative="0">
      <w:start w:val="1"/>
      <w:numFmt w:val="decimal"/>
      <w:suff w:val="nothing"/>
      <w:lvlText w:val="%1．"/>
      <w:lvlJc w:val="left"/>
      <w:pPr>
        <w:ind w:left="0" w:firstLine="400"/>
      </w:pPr>
      <w:rPr>
        <w:rFonts w:hint="default"/>
      </w:rPr>
    </w:lvl>
  </w:abstractNum>
  <w:abstractNum w:abstractNumId="14">
    <w:nsid w:val="BB4AE6C3"/>
    <w:multiLevelType w:val="singleLevel"/>
    <w:tmpl w:val="BB4AE6C3"/>
    <w:lvl w:ilvl="0" w:tentative="0">
      <w:start w:val="2"/>
      <w:numFmt w:val="decimal"/>
      <w:suff w:val="nothing"/>
      <w:lvlText w:val="%1．"/>
      <w:lvlJc w:val="left"/>
      <w:pPr>
        <w:ind w:left="0" w:firstLine="403"/>
      </w:pPr>
      <w:rPr>
        <w:rFonts w:hint="default"/>
      </w:rPr>
    </w:lvl>
  </w:abstractNum>
  <w:abstractNum w:abstractNumId="15">
    <w:nsid w:val="BBE916E8"/>
    <w:multiLevelType w:val="singleLevel"/>
    <w:tmpl w:val="BBE916E8"/>
    <w:lvl w:ilvl="0" w:tentative="0">
      <w:start w:val="1"/>
      <w:numFmt w:val="decimal"/>
      <w:suff w:val="nothing"/>
      <w:lvlText w:val="%1．"/>
      <w:lvlJc w:val="left"/>
      <w:pPr>
        <w:ind w:left="0" w:firstLine="400"/>
      </w:pPr>
      <w:rPr>
        <w:rFonts w:hint="default"/>
        <w:b w:val="0"/>
        <w:bCs w:val="0"/>
      </w:rPr>
    </w:lvl>
  </w:abstractNum>
  <w:abstractNum w:abstractNumId="16">
    <w:nsid w:val="C7BD8C7E"/>
    <w:multiLevelType w:val="singleLevel"/>
    <w:tmpl w:val="C7BD8C7E"/>
    <w:lvl w:ilvl="0" w:tentative="0">
      <w:start w:val="1"/>
      <w:numFmt w:val="decimal"/>
      <w:suff w:val="nothing"/>
      <w:lvlText w:val="%1．"/>
      <w:lvlJc w:val="left"/>
      <w:pPr>
        <w:ind w:left="0" w:firstLine="400"/>
      </w:pPr>
      <w:rPr>
        <w:rFonts w:hint="default" w:ascii="宋体" w:hAnsi="宋体" w:eastAsia="宋体" w:cs="宋体"/>
      </w:rPr>
    </w:lvl>
  </w:abstractNum>
  <w:abstractNum w:abstractNumId="17">
    <w:nsid w:val="D51C2339"/>
    <w:multiLevelType w:val="singleLevel"/>
    <w:tmpl w:val="D51C2339"/>
    <w:lvl w:ilvl="0" w:tentative="0">
      <w:start w:val="1"/>
      <w:numFmt w:val="decimal"/>
      <w:suff w:val="nothing"/>
      <w:lvlText w:val="%1．"/>
      <w:lvlJc w:val="left"/>
      <w:pPr>
        <w:ind w:left="0" w:firstLine="400"/>
      </w:pPr>
      <w:rPr>
        <w:rFonts w:hint="default" w:ascii="宋体" w:hAnsi="宋体" w:eastAsia="宋体" w:cs="宋体"/>
        <w:b/>
        <w:bCs/>
      </w:rPr>
    </w:lvl>
  </w:abstractNum>
  <w:abstractNum w:abstractNumId="18">
    <w:nsid w:val="D87B2C43"/>
    <w:multiLevelType w:val="singleLevel"/>
    <w:tmpl w:val="D87B2C43"/>
    <w:lvl w:ilvl="0" w:tentative="0">
      <w:start w:val="1"/>
      <w:numFmt w:val="chineseCounting"/>
      <w:suff w:val="nothing"/>
      <w:lvlText w:val="（%1）"/>
      <w:lvlJc w:val="left"/>
      <w:pPr>
        <w:ind w:left="0" w:firstLine="420"/>
      </w:pPr>
      <w:rPr>
        <w:rFonts w:hint="eastAsia"/>
      </w:rPr>
    </w:lvl>
  </w:abstractNum>
  <w:abstractNum w:abstractNumId="19">
    <w:nsid w:val="D8D75090"/>
    <w:multiLevelType w:val="singleLevel"/>
    <w:tmpl w:val="D8D75090"/>
    <w:lvl w:ilvl="0" w:tentative="0">
      <w:start w:val="1"/>
      <w:numFmt w:val="decimal"/>
      <w:suff w:val="nothing"/>
      <w:lvlText w:val="（%1）"/>
      <w:lvlJc w:val="left"/>
      <w:rPr>
        <w:rFonts w:hint="default"/>
        <w:b w:val="0"/>
        <w:bCs w:val="0"/>
      </w:rPr>
    </w:lvl>
  </w:abstractNum>
  <w:abstractNum w:abstractNumId="20">
    <w:nsid w:val="DD2251DF"/>
    <w:multiLevelType w:val="singleLevel"/>
    <w:tmpl w:val="DD2251DF"/>
    <w:lvl w:ilvl="0" w:tentative="0">
      <w:start w:val="1"/>
      <w:numFmt w:val="decimal"/>
      <w:suff w:val="nothing"/>
      <w:lvlText w:val="（%1）"/>
      <w:lvlJc w:val="left"/>
      <w:rPr>
        <w:rFonts w:hint="default"/>
        <w:b w:val="0"/>
        <w:bCs w:val="0"/>
      </w:rPr>
    </w:lvl>
  </w:abstractNum>
  <w:abstractNum w:abstractNumId="21">
    <w:nsid w:val="E20DF07A"/>
    <w:multiLevelType w:val="singleLevel"/>
    <w:tmpl w:val="E20DF07A"/>
    <w:lvl w:ilvl="0" w:tentative="0">
      <w:start w:val="1"/>
      <w:numFmt w:val="chineseCounting"/>
      <w:suff w:val="nothing"/>
      <w:lvlText w:val="（%1）"/>
      <w:lvlJc w:val="left"/>
      <w:pPr>
        <w:ind w:left="0" w:firstLine="420"/>
      </w:pPr>
      <w:rPr>
        <w:rFonts w:hint="eastAsia"/>
      </w:rPr>
    </w:lvl>
  </w:abstractNum>
  <w:abstractNum w:abstractNumId="22">
    <w:nsid w:val="F2B939FD"/>
    <w:multiLevelType w:val="singleLevel"/>
    <w:tmpl w:val="F2B939FD"/>
    <w:lvl w:ilvl="0" w:tentative="0">
      <w:start w:val="1"/>
      <w:numFmt w:val="decimal"/>
      <w:suff w:val="nothing"/>
      <w:lvlText w:val="%1．"/>
      <w:lvlJc w:val="left"/>
      <w:pPr>
        <w:ind w:left="0" w:firstLine="400"/>
      </w:pPr>
      <w:rPr>
        <w:rFonts w:hint="default" w:ascii="宋体" w:hAnsi="宋体" w:eastAsia="宋体" w:cs="宋体"/>
      </w:rPr>
    </w:lvl>
  </w:abstractNum>
  <w:abstractNum w:abstractNumId="23">
    <w:nsid w:val="F3AF4DAD"/>
    <w:multiLevelType w:val="singleLevel"/>
    <w:tmpl w:val="F3AF4DAD"/>
    <w:lvl w:ilvl="0" w:tentative="0">
      <w:start w:val="1"/>
      <w:numFmt w:val="chineseCounting"/>
      <w:suff w:val="nothing"/>
      <w:lvlText w:val="（%1）"/>
      <w:lvlJc w:val="left"/>
      <w:pPr>
        <w:ind w:left="0" w:firstLine="420"/>
      </w:pPr>
      <w:rPr>
        <w:rFonts w:hint="eastAsia"/>
      </w:rPr>
    </w:lvl>
  </w:abstractNum>
  <w:abstractNum w:abstractNumId="24">
    <w:nsid w:val="F574F5B6"/>
    <w:multiLevelType w:val="singleLevel"/>
    <w:tmpl w:val="F574F5B6"/>
    <w:lvl w:ilvl="0" w:tentative="0">
      <w:start w:val="1"/>
      <w:numFmt w:val="decimal"/>
      <w:suff w:val="nothing"/>
      <w:lvlText w:val="（%1）"/>
      <w:lvlJc w:val="left"/>
    </w:lvl>
  </w:abstractNum>
  <w:abstractNum w:abstractNumId="25">
    <w:nsid w:val="FAA9B37B"/>
    <w:multiLevelType w:val="singleLevel"/>
    <w:tmpl w:val="FAA9B37B"/>
    <w:lvl w:ilvl="0" w:tentative="0">
      <w:start w:val="2"/>
      <w:numFmt w:val="chineseCounting"/>
      <w:suff w:val="nothing"/>
      <w:lvlText w:val="%1、"/>
      <w:lvlJc w:val="left"/>
      <w:pPr>
        <w:ind w:left="-420" w:firstLine="420"/>
      </w:pPr>
      <w:rPr>
        <w:rFonts w:hint="eastAsia"/>
      </w:rPr>
    </w:lvl>
  </w:abstractNum>
  <w:abstractNum w:abstractNumId="26">
    <w:nsid w:val="06A8803C"/>
    <w:multiLevelType w:val="singleLevel"/>
    <w:tmpl w:val="06A8803C"/>
    <w:lvl w:ilvl="0" w:tentative="0">
      <w:start w:val="1"/>
      <w:numFmt w:val="decimal"/>
      <w:suff w:val="nothing"/>
      <w:lvlText w:val="%1．"/>
      <w:lvlJc w:val="left"/>
      <w:pPr>
        <w:ind w:left="0" w:firstLine="400"/>
      </w:pPr>
      <w:rPr>
        <w:rFonts w:hint="default"/>
      </w:rPr>
    </w:lvl>
  </w:abstractNum>
  <w:abstractNum w:abstractNumId="27">
    <w:nsid w:val="1127010C"/>
    <w:multiLevelType w:val="singleLevel"/>
    <w:tmpl w:val="1127010C"/>
    <w:lvl w:ilvl="0" w:tentative="0">
      <w:start w:val="1"/>
      <w:numFmt w:val="decimal"/>
      <w:suff w:val="nothing"/>
      <w:lvlText w:val="%1．"/>
      <w:lvlJc w:val="left"/>
      <w:pPr>
        <w:ind w:left="0" w:firstLine="400"/>
      </w:pPr>
      <w:rPr>
        <w:rFonts w:hint="default" w:ascii="宋体" w:hAnsi="宋体" w:eastAsia="宋体" w:cs="宋体"/>
      </w:rPr>
    </w:lvl>
  </w:abstractNum>
  <w:abstractNum w:abstractNumId="28">
    <w:nsid w:val="139CA754"/>
    <w:multiLevelType w:val="singleLevel"/>
    <w:tmpl w:val="139CA754"/>
    <w:lvl w:ilvl="0" w:tentative="0">
      <w:start w:val="1"/>
      <w:numFmt w:val="decimal"/>
      <w:suff w:val="nothing"/>
      <w:lvlText w:val="%1．"/>
      <w:lvlJc w:val="left"/>
      <w:pPr>
        <w:ind w:left="0" w:firstLine="400"/>
      </w:pPr>
      <w:rPr>
        <w:rFonts w:hint="default" w:ascii="宋体" w:hAnsi="宋体" w:eastAsia="宋体" w:cs="宋体"/>
      </w:rPr>
    </w:lvl>
  </w:abstractNum>
  <w:abstractNum w:abstractNumId="29">
    <w:nsid w:val="14B04552"/>
    <w:multiLevelType w:val="singleLevel"/>
    <w:tmpl w:val="14B04552"/>
    <w:lvl w:ilvl="0" w:tentative="0">
      <w:start w:val="1"/>
      <w:numFmt w:val="decimal"/>
      <w:suff w:val="nothing"/>
      <w:lvlText w:val="%1．"/>
      <w:lvlJc w:val="left"/>
      <w:pPr>
        <w:ind w:left="0" w:firstLine="400"/>
      </w:pPr>
      <w:rPr>
        <w:rFonts w:hint="default"/>
      </w:rPr>
    </w:lvl>
  </w:abstractNum>
  <w:abstractNum w:abstractNumId="30">
    <w:nsid w:val="167B0BB4"/>
    <w:multiLevelType w:val="singleLevel"/>
    <w:tmpl w:val="167B0BB4"/>
    <w:lvl w:ilvl="0" w:tentative="0">
      <w:start w:val="1"/>
      <w:numFmt w:val="decimal"/>
      <w:suff w:val="nothing"/>
      <w:lvlText w:val="（%1）"/>
      <w:lvlJc w:val="left"/>
    </w:lvl>
  </w:abstractNum>
  <w:abstractNum w:abstractNumId="31">
    <w:nsid w:val="19207562"/>
    <w:multiLevelType w:val="singleLevel"/>
    <w:tmpl w:val="19207562"/>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32">
    <w:nsid w:val="1DE2936E"/>
    <w:multiLevelType w:val="singleLevel"/>
    <w:tmpl w:val="1DE2936E"/>
    <w:lvl w:ilvl="0" w:tentative="0">
      <w:start w:val="6"/>
      <w:numFmt w:val="chineseCounting"/>
      <w:suff w:val="nothing"/>
      <w:lvlText w:val="%1、"/>
      <w:lvlJc w:val="left"/>
      <w:pPr>
        <w:ind w:left="-420" w:firstLine="420"/>
      </w:pPr>
      <w:rPr>
        <w:rFonts w:hint="eastAsia"/>
      </w:rPr>
    </w:lvl>
  </w:abstractNum>
  <w:abstractNum w:abstractNumId="33">
    <w:nsid w:val="3D02F9B6"/>
    <w:multiLevelType w:val="singleLevel"/>
    <w:tmpl w:val="3D02F9B6"/>
    <w:lvl w:ilvl="0" w:tentative="0">
      <w:start w:val="1"/>
      <w:numFmt w:val="chineseCounting"/>
      <w:suff w:val="nothing"/>
      <w:lvlText w:val="（%1）"/>
      <w:lvlJc w:val="left"/>
      <w:pPr>
        <w:ind w:left="0" w:firstLine="420"/>
      </w:pPr>
      <w:rPr>
        <w:rFonts w:hint="eastAsia"/>
      </w:rPr>
    </w:lvl>
  </w:abstractNum>
  <w:abstractNum w:abstractNumId="34">
    <w:nsid w:val="3E8BF7CA"/>
    <w:multiLevelType w:val="singleLevel"/>
    <w:tmpl w:val="3E8BF7CA"/>
    <w:lvl w:ilvl="0" w:tentative="0">
      <w:start w:val="3"/>
      <w:numFmt w:val="chineseCounting"/>
      <w:suff w:val="nothing"/>
      <w:lvlText w:val="（%1）"/>
      <w:lvlJc w:val="left"/>
      <w:pPr>
        <w:ind w:left="0" w:firstLine="420"/>
      </w:pPr>
      <w:rPr>
        <w:rFonts w:hint="eastAsia"/>
      </w:rPr>
    </w:lvl>
  </w:abstractNum>
  <w:abstractNum w:abstractNumId="35">
    <w:nsid w:val="40C56BF5"/>
    <w:multiLevelType w:val="singleLevel"/>
    <w:tmpl w:val="40C56BF5"/>
    <w:lvl w:ilvl="0" w:tentative="0">
      <w:start w:val="1"/>
      <w:numFmt w:val="decimal"/>
      <w:suff w:val="nothing"/>
      <w:lvlText w:val="%1．"/>
      <w:lvlJc w:val="left"/>
      <w:pPr>
        <w:ind w:left="0" w:firstLine="400"/>
      </w:pPr>
      <w:rPr>
        <w:rFonts w:hint="default" w:ascii="宋体" w:hAnsi="宋体" w:eastAsia="宋体" w:cs="宋体"/>
      </w:rPr>
    </w:lvl>
  </w:abstractNum>
  <w:abstractNum w:abstractNumId="36">
    <w:nsid w:val="440A0178"/>
    <w:multiLevelType w:val="singleLevel"/>
    <w:tmpl w:val="440A0178"/>
    <w:lvl w:ilvl="0" w:tentative="0">
      <w:start w:val="1"/>
      <w:numFmt w:val="chineseCounting"/>
      <w:suff w:val="nothing"/>
      <w:lvlText w:val="（%1）"/>
      <w:lvlJc w:val="left"/>
      <w:pPr>
        <w:ind w:left="0" w:firstLine="420"/>
      </w:pPr>
      <w:rPr>
        <w:rFonts w:hint="eastAsia"/>
      </w:rPr>
    </w:lvl>
  </w:abstractNum>
  <w:abstractNum w:abstractNumId="37">
    <w:nsid w:val="4C142BB3"/>
    <w:multiLevelType w:val="singleLevel"/>
    <w:tmpl w:val="4C142BB3"/>
    <w:lvl w:ilvl="0" w:tentative="0">
      <w:start w:val="1"/>
      <w:numFmt w:val="chineseCounting"/>
      <w:suff w:val="nothing"/>
      <w:lvlText w:val="（%1）"/>
      <w:lvlJc w:val="left"/>
      <w:pPr>
        <w:ind w:left="0" w:firstLine="420"/>
      </w:pPr>
      <w:rPr>
        <w:rFonts w:hint="eastAsia"/>
      </w:rPr>
    </w:lvl>
  </w:abstractNum>
  <w:abstractNum w:abstractNumId="38">
    <w:nsid w:val="4E635A5B"/>
    <w:multiLevelType w:val="singleLevel"/>
    <w:tmpl w:val="4E635A5B"/>
    <w:lvl w:ilvl="0" w:tentative="0">
      <w:start w:val="1"/>
      <w:numFmt w:val="chineseCounting"/>
      <w:suff w:val="nothing"/>
      <w:lvlText w:val="（%1）"/>
      <w:lvlJc w:val="left"/>
      <w:pPr>
        <w:ind w:left="0" w:firstLine="420"/>
      </w:pPr>
      <w:rPr>
        <w:rFonts w:hint="eastAsia"/>
        <w:b/>
        <w:bCs/>
      </w:rPr>
    </w:lvl>
  </w:abstractNum>
  <w:abstractNum w:abstractNumId="39">
    <w:nsid w:val="4EA92D1A"/>
    <w:multiLevelType w:val="singleLevel"/>
    <w:tmpl w:val="4EA92D1A"/>
    <w:lvl w:ilvl="0" w:tentative="0">
      <w:start w:val="1"/>
      <w:numFmt w:val="chineseCounting"/>
      <w:suff w:val="nothing"/>
      <w:lvlText w:val="%1、"/>
      <w:lvlJc w:val="left"/>
      <w:pPr>
        <w:ind w:left="-420" w:firstLine="420"/>
      </w:pPr>
      <w:rPr>
        <w:rFonts w:hint="eastAsia"/>
      </w:rPr>
    </w:lvl>
  </w:abstractNum>
  <w:abstractNum w:abstractNumId="40">
    <w:nsid w:val="57EB2BED"/>
    <w:multiLevelType w:val="singleLevel"/>
    <w:tmpl w:val="57EB2BED"/>
    <w:lvl w:ilvl="0" w:tentative="0">
      <w:start w:val="1"/>
      <w:numFmt w:val="decimal"/>
      <w:suff w:val="nothing"/>
      <w:lvlText w:val="%1．"/>
      <w:lvlJc w:val="left"/>
      <w:pPr>
        <w:ind w:left="0" w:firstLine="400"/>
      </w:pPr>
      <w:rPr>
        <w:rFonts w:hint="default"/>
      </w:rPr>
    </w:lvl>
  </w:abstractNum>
  <w:abstractNum w:abstractNumId="41">
    <w:nsid w:val="62F21FDB"/>
    <w:multiLevelType w:val="multilevel"/>
    <w:tmpl w:val="62F21FD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68F6C37C"/>
    <w:multiLevelType w:val="singleLevel"/>
    <w:tmpl w:val="68F6C37C"/>
    <w:lvl w:ilvl="0" w:tentative="0">
      <w:start w:val="1"/>
      <w:numFmt w:val="decimal"/>
      <w:lvlText w:val="%1."/>
      <w:lvlJc w:val="left"/>
      <w:pPr>
        <w:tabs>
          <w:tab w:val="left" w:pos="312"/>
        </w:tabs>
      </w:pPr>
      <w:rPr>
        <w:rFonts w:hint="default"/>
        <w:highlight w:val="none"/>
      </w:rPr>
    </w:lvl>
  </w:abstractNum>
  <w:abstractNum w:abstractNumId="43">
    <w:nsid w:val="6BA7AFBC"/>
    <w:multiLevelType w:val="singleLevel"/>
    <w:tmpl w:val="6BA7AFBC"/>
    <w:lvl w:ilvl="0" w:tentative="0">
      <w:start w:val="1"/>
      <w:numFmt w:val="chineseCounting"/>
      <w:suff w:val="nothing"/>
      <w:lvlText w:val="（%1）"/>
      <w:lvlJc w:val="left"/>
      <w:pPr>
        <w:ind w:left="0" w:firstLine="420"/>
      </w:pPr>
      <w:rPr>
        <w:rFonts w:hint="eastAsia"/>
      </w:rPr>
    </w:lvl>
  </w:abstractNum>
  <w:num w:numId="1">
    <w:abstractNumId w:val="39"/>
  </w:num>
  <w:num w:numId="2">
    <w:abstractNumId w:val="36"/>
  </w:num>
  <w:num w:numId="3">
    <w:abstractNumId w:val="25"/>
  </w:num>
  <w:num w:numId="4">
    <w:abstractNumId w:val="23"/>
  </w:num>
  <w:num w:numId="5">
    <w:abstractNumId w:val="28"/>
  </w:num>
  <w:num w:numId="6">
    <w:abstractNumId w:val="22"/>
  </w:num>
  <w:num w:numId="7">
    <w:abstractNumId w:val="17"/>
  </w:num>
  <w:num w:numId="8">
    <w:abstractNumId w:val="10"/>
  </w:num>
  <w:num w:numId="9">
    <w:abstractNumId w:val="14"/>
  </w:num>
  <w:num w:numId="10">
    <w:abstractNumId w:val="7"/>
  </w:num>
  <w:num w:numId="11">
    <w:abstractNumId w:val="8"/>
  </w:num>
  <w:num w:numId="12">
    <w:abstractNumId w:val="6"/>
  </w:num>
  <w:num w:numId="13">
    <w:abstractNumId w:val="27"/>
  </w:num>
  <w:num w:numId="14">
    <w:abstractNumId w:val="42"/>
  </w:num>
  <w:num w:numId="15">
    <w:abstractNumId w:val="4"/>
  </w:num>
  <w:num w:numId="16">
    <w:abstractNumId w:val="0"/>
  </w:num>
  <w:num w:numId="17">
    <w:abstractNumId w:val="35"/>
  </w:num>
  <w:num w:numId="18">
    <w:abstractNumId w:val="24"/>
  </w:num>
  <w:num w:numId="19">
    <w:abstractNumId w:val="16"/>
  </w:num>
  <w:num w:numId="20">
    <w:abstractNumId w:val="32"/>
  </w:num>
  <w:num w:numId="21">
    <w:abstractNumId w:val="18"/>
  </w:num>
  <w:num w:numId="22">
    <w:abstractNumId w:val="5"/>
  </w:num>
  <w:num w:numId="23">
    <w:abstractNumId w:val="38"/>
  </w:num>
  <w:num w:numId="24">
    <w:abstractNumId w:val="3"/>
  </w:num>
  <w:num w:numId="25">
    <w:abstractNumId w:val="41"/>
  </w:num>
  <w:num w:numId="26">
    <w:abstractNumId w:val="31"/>
  </w:num>
  <w:num w:numId="27">
    <w:abstractNumId w:val="43"/>
  </w:num>
  <w:num w:numId="28">
    <w:abstractNumId w:val="26"/>
  </w:num>
  <w:num w:numId="29">
    <w:abstractNumId w:val="20"/>
  </w:num>
  <w:num w:numId="30">
    <w:abstractNumId w:val="34"/>
  </w:num>
  <w:num w:numId="31">
    <w:abstractNumId w:val="1"/>
  </w:num>
  <w:num w:numId="32">
    <w:abstractNumId w:val="21"/>
  </w:num>
  <w:num w:numId="33">
    <w:abstractNumId w:val="13"/>
  </w:num>
  <w:num w:numId="34">
    <w:abstractNumId w:val="37"/>
  </w:num>
  <w:num w:numId="35">
    <w:abstractNumId w:val="29"/>
  </w:num>
  <w:num w:numId="36">
    <w:abstractNumId w:val="15"/>
  </w:num>
  <w:num w:numId="37">
    <w:abstractNumId w:val="40"/>
  </w:num>
  <w:num w:numId="38">
    <w:abstractNumId w:val="11"/>
  </w:num>
  <w:num w:numId="39">
    <w:abstractNumId w:val="9"/>
  </w:num>
  <w:num w:numId="40">
    <w:abstractNumId w:val="12"/>
  </w:num>
  <w:num w:numId="41">
    <w:abstractNumId w:val="30"/>
  </w:num>
  <w:num w:numId="42">
    <w:abstractNumId w:val="19"/>
  </w:num>
  <w:num w:numId="43">
    <w:abstractNumId w:val="2"/>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B1A5A6E"/>
    <w:rsid w:val="0B2B3AA7"/>
    <w:rsid w:val="0B2D0BA7"/>
    <w:rsid w:val="0B9F06D4"/>
    <w:rsid w:val="0BFD0501"/>
    <w:rsid w:val="0C583EF5"/>
    <w:rsid w:val="0D6706EF"/>
    <w:rsid w:val="0DBE77E4"/>
    <w:rsid w:val="0E2830EC"/>
    <w:rsid w:val="101F6BD5"/>
    <w:rsid w:val="10504FB0"/>
    <w:rsid w:val="10AD0B5D"/>
    <w:rsid w:val="110C5156"/>
    <w:rsid w:val="110C5C43"/>
    <w:rsid w:val="110E3B80"/>
    <w:rsid w:val="117A174C"/>
    <w:rsid w:val="118D4B5D"/>
    <w:rsid w:val="11BF48B2"/>
    <w:rsid w:val="120050A9"/>
    <w:rsid w:val="133A19E0"/>
    <w:rsid w:val="13FC36E3"/>
    <w:rsid w:val="1442705A"/>
    <w:rsid w:val="14AD62A1"/>
    <w:rsid w:val="155F3FC2"/>
    <w:rsid w:val="15841F16"/>
    <w:rsid w:val="15C972B9"/>
    <w:rsid w:val="15FFB4E2"/>
    <w:rsid w:val="162A128A"/>
    <w:rsid w:val="16563388"/>
    <w:rsid w:val="17432384"/>
    <w:rsid w:val="17611875"/>
    <w:rsid w:val="1783542D"/>
    <w:rsid w:val="179972B0"/>
    <w:rsid w:val="17C82AD1"/>
    <w:rsid w:val="18FC27C6"/>
    <w:rsid w:val="1A835642"/>
    <w:rsid w:val="1B4B1291"/>
    <w:rsid w:val="1B757EAF"/>
    <w:rsid w:val="1CAD01AC"/>
    <w:rsid w:val="1D4F0AE0"/>
    <w:rsid w:val="1D866C77"/>
    <w:rsid w:val="1D9446FE"/>
    <w:rsid w:val="1DFF113E"/>
    <w:rsid w:val="1E831DF3"/>
    <w:rsid w:val="1E856DEB"/>
    <w:rsid w:val="1F3C1565"/>
    <w:rsid w:val="20BD2325"/>
    <w:rsid w:val="24A67BC4"/>
    <w:rsid w:val="25801A05"/>
    <w:rsid w:val="27CE3874"/>
    <w:rsid w:val="27EB3D24"/>
    <w:rsid w:val="28B13D99"/>
    <w:rsid w:val="2A4135AD"/>
    <w:rsid w:val="2ACB6DF0"/>
    <w:rsid w:val="2AD52CEA"/>
    <w:rsid w:val="2B683C5D"/>
    <w:rsid w:val="2B8255D3"/>
    <w:rsid w:val="2CED7384"/>
    <w:rsid w:val="2D131CD0"/>
    <w:rsid w:val="2DD45D89"/>
    <w:rsid w:val="2FAF3215"/>
    <w:rsid w:val="307B1E47"/>
    <w:rsid w:val="32FF4CC1"/>
    <w:rsid w:val="33C67AA9"/>
    <w:rsid w:val="348C31DF"/>
    <w:rsid w:val="348E01C6"/>
    <w:rsid w:val="354C4323"/>
    <w:rsid w:val="35CD15B7"/>
    <w:rsid w:val="35D86BDE"/>
    <w:rsid w:val="35FD5667"/>
    <w:rsid w:val="36310E4A"/>
    <w:rsid w:val="36591675"/>
    <w:rsid w:val="372216A6"/>
    <w:rsid w:val="38663D34"/>
    <w:rsid w:val="39310E98"/>
    <w:rsid w:val="39977E11"/>
    <w:rsid w:val="3A2F358F"/>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0570634"/>
    <w:rsid w:val="41487A0A"/>
    <w:rsid w:val="42342BAA"/>
    <w:rsid w:val="425B6A60"/>
    <w:rsid w:val="426E7500"/>
    <w:rsid w:val="43685ADB"/>
    <w:rsid w:val="44045C03"/>
    <w:rsid w:val="446A4F91"/>
    <w:rsid w:val="46DB254E"/>
    <w:rsid w:val="478A2A1D"/>
    <w:rsid w:val="47C36E36"/>
    <w:rsid w:val="47FFEEA7"/>
    <w:rsid w:val="48A3615E"/>
    <w:rsid w:val="48B73C2B"/>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176B7B"/>
    <w:rsid w:val="53A84543"/>
    <w:rsid w:val="56A66316"/>
    <w:rsid w:val="57C8521F"/>
    <w:rsid w:val="5851778C"/>
    <w:rsid w:val="58A020D2"/>
    <w:rsid w:val="5A5F3178"/>
    <w:rsid w:val="5A6368AB"/>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8782DAE"/>
    <w:rsid w:val="68A1454F"/>
    <w:rsid w:val="69644745"/>
    <w:rsid w:val="69BC658F"/>
    <w:rsid w:val="6A042D14"/>
    <w:rsid w:val="6ABE1B22"/>
    <w:rsid w:val="6AF26EB9"/>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EF62DB"/>
    <w:rsid w:val="7A3A7C0C"/>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Style w:val="8"/>
      <w:tblLayout w:type="fixed"/>
      <w:tblCellMar>
        <w:top w:w="0" w:type="dxa"/>
        <w:left w:w="108" w:type="dxa"/>
        <w:bottom w:w="0" w:type="dxa"/>
        <w:right w:w="108" w:type="dxa"/>
      </w:tblCellMar>
    </w:tblPr>
  </w:style>
  <w:style w:type="paragraph" w:styleId="2">
    <w:name w:val="annotation text"/>
    <w:basedOn w:val="1"/>
    <w:link w:val="17"/>
    <w:uiPriority w:val="0"/>
    <w:pPr>
      <w:jc w:val="left"/>
    </w:pPr>
    <w:rPr>
      <w:rFonts w:cs="Times New Roman"/>
    </w:rPr>
  </w:style>
  <w:style w:type="paragraph" w:styleId="3">
    <w:name w:val="Balloon Text"/>
    <w:basedOn w:val="1"/>
    <w:link w:val="15"/>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paragraph" w:styleId="7">
    <w:name w:val="annotation subject"/>
    <w:basedOn w:val="2"/>
    <w:next w:val="2"/>
    <w:link w:val="16"/>
    <w:uiPriority w:val="0"/>
    <w:rPr>
      <w:b/>
      <w:bCs/>
    </w:rPr>
  </w:style>
  <w:style w:type="table" w:styleId="9">
    <w:name w:val="Table Grid"/>
    <w:basedOn w:val="8"/>
    <w:unhideWhenUsed/>
    <w:qFormat/>
    <w:uiPriority w:val="99"/>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List Paragraph"/>
    <w:basedOn w:val="1"/>
    <w:unhideWhenUsed/>
    <w:uiPriority w:val="99"/>
    <w:pPr>
      <w:ind w:firstLine="420" w:firstLineChars="200"/>
    </w:pPr>
  </w:style>
  <w:style w:type="paragraph" w:customStyle="1" w:styleId="14">
    <w:name w:val="Default"/>
    <w:qFormat/>
    <w:uiPriority w:val="0"/>
    <w:pPr>
      <w:widowControl w:val="0"/>
      <w:autoSpaceDE w:val="0"/>
      <w:autoSpaceDN w:val="0"/>
      <w:adjustRightInd w:val="0"/>
    </w:pPr>
    <w:rPr>
      <w:color w:val="000000"/>
      <w:sz w:val="24"/>
      <w:szCs w:val="24"/>
      <w:lang w:val="en-US" w:eastAsia="zh-CN" w:bidi="ar-SA"/>
    </w:rPr>
  </w:style>
  <w:style w:type="character" w:customStyle="1" w:styleId="15">
    <w:name w:val="批注框文本 Char"/>
    <w:link w:val="3"/>
    <w:uiPriority w:val="0"/>
    <w:rPr>
      <w:rFonts w:ascii="Calibri" w:hAnsi="Calibri" w:cs="黑体"/>
      <w:kern w:val="2"/>
      <w:sz w:val="18"/>
      <w:szCs w:val="18"/>
    </w:rPr>
  </w:style>
  <w:style w:type="character" w:customStyle="1" w:styleId="16">
    <w:name w:val="批注主题 Char"/>
    <w:link w:val="7"/>
    <w:uiPriority w:val="0"/>
    <w:rPr>
      <w:rFonts w:ascii="Calibri" w:hAnsi="Calibri" w:cs="黑体"/>
      <w:b/>
      <w:bCs/>
      <w:kern w:val="2"/>
      <w:sz w:val="21"/>
      <w:szCs w:val="24"/>
    </w:rPr>
  </w:style>
  <w:style w:type="character" w:customStyle="1" w:styleId="17">
    <w:name w:val="批注文字 Char"/>
    <w:link w:val="2"/>
    <w:uiPriority w:val="0"/>
    <w:rPr>
      <w:rFonts w:ascii="Calibri" w:hAnsi="Calibri" w:cs="黑体"/>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38297</Words>
  <Characters>41219</Characters>
  <Lines>272</Lines>
  <Paragraphs>76</Paragraphs>
  <TotalTime>4</TotalTime>
  <ScaleCrop>false</ScaleCrop>
  <LinksUpToDate>false</LinksUpToDate>
  <CharactersWithSpaces>41717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2025-08-13T07:20:32Z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