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恒源6月定开13期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恒源6月定开13期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b/>
          <w:bCs/>
          <w:sz w:val="24"/>
          <w:szCs w:val="24"/>
          <w:highlight w:val="none"/>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Z70031220000</w:t>
            </w:r>
            <w:r>
              <w:rPr>
                <w:rFonts w:hint="eastAsia" w:ascii="楷体" w:hAnsi="楷体" w:eastAsia="楷体" w:cs="宋体"/>
                <w:spacing w:val="-2"/>
                <w:sz w:val="21"/>
                <w:szCs w:val="21"/>
                <w:lang w:val="en-US" w:eastAsia="zh-CN"/>
              </w:rPr>
              <w:t>96</w:t>
            </w:r>
          </w:p>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A份额：苏银理财</w:t>
            </w:r>
            <w:r>
              <w:rPr>
                <w:rFonts w:hint="eastAsia" w:ascii="楷体" w:hAnsi="楷体" w:eastAsia="楷体" w:cs="宋体"/>
                <w:spacing w:val="-2"/>
                <w:sz w:val="21"/>
                <w:szCs w:val="21"/>
                <w:lang w:eastAsia="zh-CN"/>
              </w:rPr>
              <w:t>恒源6月定开13期</w:t>
            </w:r>
            <w:r>
              <w:rPr>
                <w:rFonts w:hint="eastAsia" w:ascii="楷体" w:hAnsi="楷体" w:eastAsia="楷体" w:cs="宋体"/>
                <w:spacing w:val="-2"/>
                <w:sz w:val="21"/>
                <w:szCs w:val="21"/>
              </w:rPr>
              <w:t>A/</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2048</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rPr>
              <w:t>C</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恒源6月定开13期</w:t>
            </w:r>
            <w:r>
              <w:rPr>
                <w:rFonts w:hint="default" w:ascii="楷体" w:hAnsi="楷体" w:eastAsia="楷体" w:cs="宋体"/>
                <w:spacing w:val="-2"/>
                <w:sz w:val="21"/>
                <w:szCs w:val="21"/>
              </w:rPr>
              <w:t>C</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2049</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rPr>
              <w:t>D</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恒源6月定开13期</w:t>
            </w:r>
            <w:r>
              <w:rPr>
                <w:rFonts w:hint="default" w:ascii="楷体" w:hAnsi="楷体" w:eastAsia="楷体" w:cs="宋体"/>
                <w:spacing w:val="-2"/>
                <w:sz w:val="21"/>
                <w:szCs w:val="21"/>
              </w:rPr>
              <w:t>D</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2050</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恒源6月定开13期</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2051</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恒源6月定开13期</w:t>
            </w:r>
            <w:r>
              <w:rPr>
                <w:rFonts w:hint="eastAsia" w:ascii="楷体" w:hAnsi="楷体" w:eastAsia="楷体" w:cs="宋体"/>
                <w:spacing w:val="-2"/>
                <w:sz w:val="21"/>
                <w:szCs w:val="21"/>
                <w:lang w:val="en-US" w:eastAsia="zh-CN"/>
              </w:rPr>
              <w:t>G/</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2587</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K份额：</w:t>
            </w: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恒源6月定开13期</w:t>
            </w:r>
            <w:r>
              <w:rPr>
                <w:rFonts w:hint="eastAsia" w:ascii="楷体" w:hAnsi="楷体" w:eastAsia="楷体" w:cs="宋体"/>
                <w:spacing w:val="-2"/>
                <w:sz w:val="21"/>
                <w:szCs w:val="21"/>
                <w:lang w:val="en-US" w:eastAsia="zh-CN"/>
              </w:rPr>
              <w:t>K/</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4"/>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yellow"/>
              </w:rPr>
            </w:pPr>
            <w:r>
              <w:rPr>
                <w:rFonts w:hint="default"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rPr>
              <w:t>）。</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，客群由销售机构进行认定）。</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K份额</w:t>
            </w:r>
            <w:r>
              <w:rPr>
                <w:rFonts w:hint="eastAsia" w:ascii="楷体" w:hAnsi="楷体" w:eastAsia="楷体" w:cs="宋体"/>
                <w:spacing w:val="-2"/>
                <w:sz w:val="21"/>
                <w:szCs w:val="21"/>
              </w:rPr>
              <w:t>面向个人和机构投资者销售</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15</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r>
              <w:rPr>
                <w:rFonts w:hint="eastAsia" w:ascii="楷体" w:hAnsi="楷体" w:eastAsia="楷体" w:cs="Times New Roman"/>
                <w:szCs w:val="21"/>
                <w:lang w:eastAsia="zh-CN"/>
              </w:rPr>
              <w:t>；</w:t>
            </w:r>
            <w:r>
              <w:rPr>
                <w:rFonts w:hint="eastAsia" w:ascii="楷体" w:hAnsi="楷体" w:eastAsia="楷体" w:cs="Times New Roman"/>
                <w:szCs w:val="21"/>
                <w:lang w:val="en-US" w:eastAsia="zh-CN"/>
              </w:rPr>
              <w:t>机构投资者认购起点5000万元，追加金额为1万元的整数倍。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G</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K份额</w:t>
            </w:r>
            <w:r>
              <w:rPr>
                <w:rFonts w:hint="eastAsia" w:ascii="楷体" w:hAnsi="楷体" w:eastAsia="楷体" w:cs="宋体"/>
                <w:spacing w:val="-2"/>
                <w:szCs w:val="21"/>
              </w:rPr>
              <w:t>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Times New Roman"/>
                <w:szCs w:val="21"/>
              </w:rPr>
              <w:t>认购起点/追加金额具体以</w:t>
            </w:r>
            <w:r>
              <w:rPr>
                <w:rFonts w:hint="eastAsia" w:ascii="楷体" w:hAnsi="楷体" w:eastAsia="楷体" w:cs="Times New Roman"/>
                <w:szCs w:val="21"/>
                <w:lang w:val="en-US" w:eastAsia="zh-CN"/>
              </w:rPr>
              <w:t>销售</w:t>
            </w:r>
            <w:r>
              <w:rPr>
                <w:rFonts w:hint="eastAsia" w:ascii="楷体" w:hAnsi="楷体" w:eastAsia="楷体" w:cs="Times New Roman"/>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A/C/D/F份额：</w:t>
            </w:r>
            <w:r>
              <w:rPr>
                <w:rFonts w:hint="eastAsia" w:ascii="楷体" w:hAnsi="楷体" w:eastAsia="楷体" w:cs="宋体"/>
                <w:spacing w:val="-2"/>
                <w:sz w:val="21"/>
                <w:szCs w:val="21"/>
                <w:lang w:eastAsia="zh-CN"/>
              </w:rPr>
              <w:t>2022年8月5日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2022年8月9日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G/K份额：</w:t>
            </w:r>
            <w:r>
              <w:rPr>
                <w:rFonts w:hint="eastAsia" w:ascii="楷体" w:hAnsi="楷体" w:eastAsia="楷体" w:cs="宋体"/>
                <w:spacing w:val="-2"/>
                <w:sz w:val="21"/>
                <w:szCs w:val="21"/>
                <w:lang w:eastAsia="zh-CN"/>
              </w:rPr>
              <w:t>2023年8月18日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2023年8月24日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A/C/D/F份额：</w:t>
            </w:r>
            <w:r>
              <w:rPr>
                <w:rFonts w:hint="eastAsia" w:ascii="楷体" w:hAnsi="楷体" w:eastAsia="楷体" w:cs="宋体"/>
                <w:spacing w:val="-2"/>
                <w:sz w:val="21"/>
                <w:szCs w:val="21"/>
                <w:lang w:eastAsia="zh-CN"/>
              </w:rPr>
              <w:t>2022年8月10日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G/K份额：2023年8月25日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2032年8月31日</w:t>
            </w:r>
            <w:r>
              <w:rPr>
                <w:rFonts w:hint="eastAsia" w:ascii="楷体" w:hAnsi="楷体" w:eastAsia="楷体" w:cs="宋体"/>
                <w:spacing w:val="-2"/>
                <w:sz w:val="21"/>
                <w:szCs w:val="21"/>
              </w:rPr>
              <w:t>（如遇节假日，顺延至下一工作日）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4"/>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2022年8月10日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rPr>
                    <w:t>2023</w:t>
                  </w:r>
                  <w:r>
                    <w:rPr>
                      <w:rFonts w:hint="eastAsia" w:ascii="楷体" w:hAnsi="楷体" w:eastAsia="楷体" w:cs="宋体"/>
                      <w:spacing w:val="-2"/>
                      <w:sz w:val="21"/>
                      <w:szCs w:val="21"/>
                      <w:vertAlign w:val="baseline"/>
                      <w:lang w:eastAsia="zh-CN"/>
                    </w:rPr>
                    <w:t>年</w:t>
                  </w:r>
                  <w:r>
                    <w:rPr>
                      <w:rFonts w:hint="eastAsia" w:ascii="楷体" w:hAnsi="楷体" w:eastAsia="楷体" w:cs="宋体"/>
                      <w:spacing w:val="-2"/>
                      <w:sz w:val="21"/>
                      <w:szCs w:val="21"/>
                      <w:vertAlign w:val="baseline"/>
                    </w:rPr>
                    <w:t>2</w:t>
                  </w:r>
                  <w:r>
                    <w:rPr>
                      <w:rFonts w:hint="eastAsia" w:ascii="楷体" w:hAnsi="楷体" w:eastAsia="楷体" w:cs="宋体"/>
                      <w:spacing w:val="-2"/>
                      <w:sz w:val="21"/>
                      <w:szCs w:val="21"/>
                      <w:vertAlign w:val="baseline"/>
                      <w:lang w:eastAsia="zh-CN"/>
                    </w:rPr>
                    <w:t>月</w:t>
                  </w:r>
                  <w:r>
                    <w:rPr>
                      <w:rFonts w:hint="eastAsia" w:ascii="楷体" w:hAnsi="楷体" w:eastAsia="楷体" w:cs="宋体"/>
                      <w:spacing w:val="-2"/>
                      <w:sz w:val="21"/>
                      <w:szCs w:val="21"/>
                      <w:vertAlign w:val="baseline"/>
                    </w:rPr>
                    <w:t>2</w:t>
                  </w:r>
                  <w:r>
                    <w:rPr>
                      <w:rFonts w:hint="eastAsia" w:ascii="楷体" w:hAnsi="楷体" w:eastAsia="楷体" w:cs="宋体"/>
                      <w:spacing w:val="-2"/>
                      <w:sz w:val="21"/>
                      <w:szCs w:val="21"/>
                      <w:vertAlign w:val="baseline"/>
                      <w:lang w:val="en-US" w:eastAsia="zh-CN"/>
                    </w:rPr>
                    <w:t>1</w:t>
                  </w:r>
                  <w:r>
                    <w:rPr>
                      <w:rFonts w:hint="eastAsia" w:ascii="楷体" w:hAnsi="楷体" w:eastAsia="楷体" w:cs="宋体"/>
                      <w:spacing w:val="-2"/>
                      <w:sz w:val="21"/>
                      <w:szCs w:val="21"/>
                      <w:vertAlign w:val="baseline"/>
                      <w:lang w:eastAsia="zh-CN"/>
                    </w:rPr>
                    <w:t>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C份额 3.95%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3.90%</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rPr>
                    <w:t>2023</w:t>
                  </w:r>
                  <w:r>
                    <w:rPr>
                      <w:rFonts w:hint="eastAsia" w:ascii="楷体" w:hAnsi="楷体" w:eastAsia="楷体" w:cs="宋体"/>
                      <w:spacing w:val="-2"/>
                      <w:sz w:val="21"/>
                      <w:szCs w:val="21"/>
                      <w:vertAlign w:val="baseline"/>
                      <w:lang w:eastAsia="zh-CN"/>
                    </w:rPr>
                    <w:t>年</w:t>
                  </w:r>
                  <w:r>
                    <w:rPr>
                      <w:rFonts w:hint="eastAsia" w:ascii="楷体" w:hAnsi="楷体" w:eastAsia="楷体" w:cs="宋体"/>
                      <w:spacing w:val="-2"/>
                      <w:sz w:val="21"/>
                      <w:szCs w:val="21"/>
                      <w:vertAlign w:val="baseline"/>
                    </w:rPr>
                    <w:t>2</w:t>
                  </w:r>
                  <w:r>
                    <w:rPr>
                      <w:rFonts w:hint="eastAsia" w:ascii="楷体" w:hAnsi="楷体" w:eastAsia="楷体" w:cs="宋体"/>
                      <w:spacing w:val="-2"/>
                      <w:sz w:val="21"/>
                      <w:szCs w:val="21"/>
                      <w:vertAlign w:val="baseline"/>
                      <w:lang w:eastAsia="zh-CN"/>
                    </w:rPr>
                    <w:t>月</w:t>
                  </w:r>
                  <w:r>
                    <w:rPr>
                      <w:rFonts w:hint="eastAsia" w:ascii="楷体" w:hAnsi="楷体" w:eastAsia="楷体" w:cs="宋体"/>
                      <w:spacing w:val="-2"/>
                      <w:sz w:val="21"/>
                      <w:szCs w:val="21"/>
                      <w:vertAlign w:val="baseline"/>
                    </w:rPr>
                    <w:t>22</w:t>
                  </w:r>
                  <w:r>
                    <w:rPr>
                      <w:rFonts w:hint="eastAsia" w:ascii="楷体" w:hAnsi="楷体" w:eastAsia="楷体" w:cs="宋体"/>
                      <w:spacing w:val="-2"/>
                      <w:sz w:val="21"/>
                      <w:szCs w:val="21"/>
                      <w:vertAlign w:val="baseline"/>
                      <w:lang w:eastAsia="zh-CN"/>
                    </w:rPr>
                    <w:t>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2023年8月24日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3.05%-3.85%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2023年8月25日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2024年2月29日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K份额 2.90%-3.70%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2024年3月1日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2024年9月2日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5</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2024年9月3日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2025年3月6日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2.55</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35</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2.40%-3.20%</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K份额 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6</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2025年3月7日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2025年9月8日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2.45%-3.25%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 xml:space="preserve">份额 </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0%-3.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0</w:t>
                  </w:r>
                  <w:r>
                    <w:rPr>
                      <w:rFonts w:hint="eastAsia" w:ascii="楷体" w:hAnsi="楷体" w:eastAsia="楷体" w:cs="宋体"/>
                      <w:spacing w:val="-2"/>
                      <w:sz w:val="21"/>
                      <w:szCs w:val="21"/>
                      <w:lang w:val="en-US" w:eastAsia="zh-CN"/>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K份额 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7</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kern w:val="0"/>
                      <w:sz w:val="21"/>
                      <w:szCs w:val="21"/>
                      <w:vertAlign w:val="baseline"/>
                      <w:lang w:val="en-US" w:eastAsia="zh-CN" w:bidi="ar-SA"/>
                    </w:rPr>
                  </w:pPr>
                  <w:r>
                    <w:rPr>
                      <w:rFonts w:hint="eastAsia" w:ascii="楷体" w:hAnsi="楷体" w:eastAsia="楷体" w:cs="宋体"/>
                      <w:spacing w:val="-2"/>
                      <w:sz w:val="21"/>
                      <w:szCs w:val="21"/>
                      <w:vertAlign w:val="baseline"/>
                      <w:lang w:val="en-US" w:eastAsia="zh-CN"/>
                    </w:rPr>
                    <w:t>2025年9月9日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kern w:val="0"/>
                      <w:sz w:val="21"/>
                      <w:szCs w:val="21"/>
                      <w:vertAlign w:val="baseline"/>
                      <w:lang w:val="en-US" w:eastAsia="zh-CN" w:bidi="ar-SA"/>
                    </w:rPr>
                  </w:pPr>
                  <w:r>
                    <w:rPr>
                      <w:rFonts w:hint="eastAsia" w:ascii="楷体" w:hAnsi="楷体" w:eastAsia="楷体" w:cs="宋体"/>
                      <w:spacing w:val="-2"/>
                      <w:sz w:val="21"/>
                      <w:szCs w:val="21"/>
                      <w:vertAlign w:val="baseline"/>
                      <w:lang w:val="en-US" w:eastAsia="zh-CN"/>
                    </w:rPr>
                    <w:t>2026年3月16日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bookmarkStart w:id="0" w:name="_GoBack"/>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2.销售服务费率：A份额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0.15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G份额0.15%/年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K</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G份额0.75%/年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K</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9</w:t>
            </w:r>
            <w:r>
              <w:rPr>
                <w:rFonts w:hint="default" w:ascii="楷体" w:hAnsi="楷体" w:eastAsia="楷体" w:cs="宋体"/>
                <w:spacing w:val="-2"/>
                <w:szCs w:val="21"/>
              </w:rPr>
              <w:t>0</w:t>
            </w:r>
            <w:r>
              <w:rPr>
                <w:rFonts w:hint="eastAsia" w:ascii="楷体" w:hAnsi="楷体" w:eastAsia="楷体" w:cs="宋体"/>
                <w:spacing w:val="-2"/>
                <w:szCs w:val="21"/>
              </w:rPr>
              <w:t>%/年。</w:t>
            </w:r>
          </w:p>
          <w:p>
            <w:pPr>
              <w:keepNext w:val="0"/>
              <w:keepLines w:val="0"/>
              <w:suppressLineNumbers w:val="0"/>
              <w:spacing w:before="0" w:beforeAutospacing="0" w:after="0" w:afterAutospacing="0"/>
              <w:ind w:left="59" w:right="73" w:rightChars="35"/>
              <w:rPr>
                <w:rFonts w:hint="default" w:ascii="宋体" w:hAnsi="宋体" w:eastAsia="宋体" w:cs="宋体"/>
                <w:sz w:val="24"/>
                <w:szCs w:val="24"/>
              </w:rPr>
            </w:pPr>
            <w:r>
              <w:rPr>
                <w:rFonts w:hint="eastAsia" w:ascii="楷体" w:hAnsi="楷体" w:eastAsia="楷体" w:cs="宋体"/>
                <w:spacing w:val="-2"/>
                <w:szCs w:val="21"/>
              </w:rPr>
              <w:t>4.超额业绩报酬：管理人按投资周期收取超额业绩报酬。假设单一投资周期的各份额实际年化投资收益在扣除托管费、销售服务费、投资管理费以及运作产品所必须缴纳的税费后为R：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cs="Times New Roman"/>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九江银行股份有限公司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3616"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3816"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华侨银行有限公司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莱商银行股份有限公司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潍坊银行股份有限公司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江苏江南农村商业银行股份有限公司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福建海峡银行股份有限公司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东营银行股份有限公司</w:t>
            </w:r>
          </w:p>
        </w:tc>
        <w:tc>
          <w:tcPr>
            <w:tcW w:w="3816"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浙江义乌农村商业银行股份有限公司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66" w:type="dxa"/>
            <w:vMerge w:val="continue"/>
            <w:tcBorders>
              <w:left w:val="single" w:color="000000" w:sz="4" w:space="0"/>
              <w:bottom w:val="single" w:color="auto"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c>
          <w:tcPr>
            <w:tcW w:w="3816"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0" w:type="auto"/>
            <w:tcBorders>
              <w:top w:val="single" w:color="auto"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交通银行股份有限公司</w:t>
            </w:r>
          </w:p>
        </w:tc>
        <w:tc>
          <w:tcPr>
            <w:tcW w:w="0" w:type="auto"/>
            <w:tcBorders>
              <w:top w:val="single" w:color="auto"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徽商银行股份有限公司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浙江温州鹿城农村商业银行股份有限公司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浙江平湖农村商业银行股份有限公司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浙商银行股份有限公司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东营银行股份有限公司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K份额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苏豪弘业期货股份有限公司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20"/>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20"/>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lang w:val="en-US" w:eastAsia="zh-CN"/>
              </w:rPr>
            </w:pPr>
            <w:r>
              <w:rPr>
                <w:rFonts w:hint="eastAsia" w:ascii="楷体" w:hAnsi="楷体" w:eastAsia="楷体" w:cs="Times New Roman"/>
                <w:b w:val="0"/>
                <w:bCs w:val="0"/>
                <w:sz w:val="20"/>
                <w:szCs w:val="20"/>
              </w:rPr>
              <w:t>东方财富证券股份有限公司是东方财富信息股份有限公司旗下的持牌证券公司，总部位于上海，注册资本121亿元。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lang w:val="en-US" w:eastAsia="zh-CN"/>
              </w:rPr>
            </w:pPr>
            <w:r>
              <w:rPr>
                <w:rFonts w:hint="eastAsia" w:ascii="楷体" w:hAnsi="楷体" w:eastAsia="楷体" w:cs="Times New Roman"/>
                <w:b w:val="0"/>
                <w:bCs w:val="0"/>
                <w:sz w:val="20"/>
                <w:szCs w:val="20"/>
              </w:rPr>
              <w:t>中粮信托有限责任公司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20"/>
              </w:rPr>
              <w:t>中粮信托有限责任公司成立于2009年7月27日，控股股东为中粮资本投资有限公司，实际控制人为国务院国资委，注册资本283,095.4182万元人民币。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8</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国投泰康</w:t>
            </w:r>
            <w:r>
              <w:rPr>
                <w:rFonts w:hint="eastAsia" w:ascii="楷体" w:hAnsi="楷体" w:eastAsia="楷体" w:cs="Times New Roman"/>
                <w:b w:val="0"/>
                <w:bCs w:val="0"/>
                <w:sz w:val="20"/>
                <w:szCs w:val="18"/>
              </w:rPr>
              <w:t>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 亿元人民币。公司主要股东为:国投资本控股有限公司，出资比例61.29%；泰康保险集团股份有限公司，出资比例27.06%；悦达资本股份有限公司，出资比例8.20%；泰康资产管理有限责任公司，出资比例 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9</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国联证券资产管理有限公司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联证券资产管理有限公司（以下简称“公司”或“国联证券资管”）为国联民生证券股份有限公司全资子公司，2023年09月20日完成注册登记，2024年05月23日正式揭牌运营。公司注册地在青岛，注册资本100000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10</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华鑫证券有限责任公司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华鑫证券有限责任公司是经中国证券监督管理委员会批准于2001年3月在深圳市注册成立的全国性综合类证券经营机构，注册资本36亿元人民币。</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恒源6月定开13期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sz w:val="24"/>
          <w:szCs w:val="24"/>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2022年8月5日</w:t>
            </w:r>
            <w:r>
              <w:rPr>
                <w:rFonts w:hint="eastAsia" w:ascii="楷体" w:hAnsi="楷体" w:eastAsia="楷体" w:cs="Times New Roman"/>
                <w:sz w:val="24"/>
                <w:szCs w:val="24"/>
              </w:rPr>
              <w:t>9:00至</w:t>
            </w:r>
            <w:r>
              <w:rPr>
                <w:rFonts w:hint="eastAsia" w:ascii="楷体" w:hAnsi="楷体" w:eastAsia="楷体" w:cs="Times New Roman"/>
                <w:sz w:val="24"/>
                <w:szCs w:val="24"/>
                <w:lang w:eastAsia="zh-CN"/>
              </w:rPr>
              <w:t>2022年8月9日</w:t>
            </w:r>
            <w:r>
              <w:rPr>
                <w:rFonts w:hint="eastAsia" w:ascii="楷体" w:hAnsi="楷体" w:eastAsia="楷体" w:cs="Times New Roman"/>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G/K份额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2023年8月18日9:00至2023年8月24日17:00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C</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D</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right="0"/>
              <w:jc w:val="center"/>
              <w:rPr>
                <w:rFonts w:hint="default" w:ascii="Calibri" w:hAnsi="Calibri" w:eastAsia="楷体" w:cs="Times New Roman"/>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F</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G</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K</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2022年8月9日</w:t>
            </w:r>
            <w:r>
              <w:rPr>
                <w:rFonts w:hint="eastAsia" w:ascii="楷体" w:hAnsi="楷体" w:eastAsia="楷体" w:cs="Times New Roman"/>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G/K份额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vertAlign w:val="baseline"/>
                <w:lang w:val="en-US"/>
              </w:rPr>
            </w:pPr>
            <w:r>
              <w:rPr>
                <w:rFonts w:hint="eastAsia" w:ascii="楷体" w:hAnsi="楷体" w:eastAsia="楷体" w:cs="Times New Roman"/>
                <w:sz w:val="24"/>
                <w:szCs w:val="24"/>
                <w:lang w:eastAsia="zh-CN"/>
              </w:rPr>
              <w:t>2023年8月24日</w:t>
            </w:r>
            <w:r>
              <w:rPr>
                <w:rFonts w:hint="eastAsia" w:ascii="楷体" w:hAnsi="楷体" w:eastAsia="楷体" w:cs="Times New Roman"/>
                <w:sz w:val="24"/>
                <w:szCs w:val="24"/>
              </w:rPr>
              <w:t>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2022年8月10日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G/K份额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2023年8月25日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2022年8月10日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2023年</w:t>
      </w:r>
      <w:r>
        <w:rPr>
          <w:rFonts w:hint="eastAsia" w:ascii="楷体" w:hAnsi="楷体" w:eastAsia="楷体"/>
          <w:sz w:val="24"/>
          <w:szCs w:val="24"/>
          <w:lang w:val="en-US" w:eastAsia="zh-CN"/>
        </w:rPr>
        <w:t>2</w:t>
      </w:r>
      <w:r>
        <w:rPr>
          <w:rFonts w:hint="eastAsia" w:ascii="楷体" w:hAnsi="楷体" w:eastAsia="楷体"/>
          <w:sz w:val="24"/>
          <w:szCs w:val="24"/>
          <w:lang w:eastAsia="zh-CN"/>
        </w:rPr>
        <w:t>月2</w:t>
      </w:r>
      <w:r>
        <w:rPr>
          <w:rFonts w:hint="eastAsia" w:ascii="楷体" w:hAnsi="楷体" w:eastAsia="楷体"/>
          <w:sz w:val="24"/>
          <w:szCs w:val="24"/>
          <w:lang w:val="en-US" w:eastAsia="zh-CN"/>
        </w:rPr>
        <w:t>1</w:t>
      </w:r>
      <w:r>
        <w:rPr>
          <w:rFonts w:hint="eastAsia" w:ascii="楷体" w:hAnsi="楷体" w:eastAsia="楷体"/>
          <w:sz w:val="24"/>
          <w:szCs w:val="24"/>
          <w:lang w:eastAsia="zh-CN"/>
        </w:rPr>
        <w:t>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2022年8月10日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2023年</w:t>
            </w:r>
            <w:r>
              <w:rPr>
                <w:rFonts w:hint="eastAsia" w:ascii="楷体" w:hAnsi="楷体" w:eastAsia="楷体" w:cs="Times New Roman"/>
                <w:szCs w:val="21"/>
                <w:lang w:val="en-US" w:eastAsia="zh-CN"/>
              </w:rPr>
              <w:t>2</w:t>
            </w:r>
            <w:r>
              <w:rPr>
                <w:rFonts w:hint="eastAsia" w:ascii="楷体" w:hAnsi="楷体" w:eastAsia="楷体" w:cs="Times New Roman"/>
                <w:szCs w:val="21"/>
                <w:lang w:eastAsia="zh-CN"/>
              </w:rPr>
              <w:t>月2</w:t>
            </w:r>
            <w:r>
              <w:rPr>
                <w:rFonts w:hint="eastAsia" w:ascii="楷体" w:hAnsi="楷体" w:eastAsia="楷体" w:cs="Times New Roman"/>
                <w:szCs w:val="21"/>
                <w:lang w:val="en-US" w:eastAsia="zh-CN"/>
              </w:rPr>
              <w:t>1</w:t>
            </w:r>
            <w:r>
              <w:rPr>
                <w:rFonts w:hint="eastAsia" w:ascii="楷体" w:hAnsi="楷体" w:eastAsia="楷体" w:cs="Times New Roman"/>
                <w:szCs w:val="21"/>
                <w:lang w:eastAsia="zh-CN"/>
              </w:rPr>
              <w:t>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2023年</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月1</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2023年</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月2</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w:t>
            </w:r>
            <w:r>
              <w:rPr>
                <w:rFonts w:hint="eastAsia" w:ascii="楷体" w:hAnsi="楷体" w:eastAsia="楷体" w:cs="Times New Roman"/>
                <w:szCs w:val="21"/>
                <w:lang w:val="en-US" w:eastAsia="zh-CN"/>
              </w:rPr>
              <w:t>2</w:t>
            </w:r>
            <w:r>
              <w:rPr>
                <w:rFonts w:hint="eastAsia" w:ascii="楷体" w:hAnsi="楷体" w:eastAsia="楷体" w:cs="Times New Roman"/>
                <w:szCs w:val="21"/>
                <w:lang w:eastAsia="zh-CN"/>
              </w:rPr>
              <w:t>月2</w:t>
            </w:r>
            <w:r>
              <w:rPr>
                <w:rFonts w:hint="eastAsia" w:ascii="楷体" w:hAnsi="楷体" w:eastAsia="楷体" w:cs="Times New Roman"/>
                <w:szCs w:val="21"/>
                <w:lang w:val="en-US" w:eastAsia="zh-CN"/>
              </w:rPr>
              <w:t>2</w:t>
            </w:r>
            <w:r>
              <w:rPr>
                <w:rFonts w:hint="eastAsia" w:ascii="楷体" w:hAnsi="楷体" w:eastAsia="楷体" w:cs="Times New Roman"/>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default" w:ascii="楷体" w:hAnsi="楷体" w:eastAsia="楷体" w:cs="Times New Roman"/>
                <w:szCs w:val="21"/>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w:t>
            </w:r>
            <w:r>
              <w:rPr>
                <w:rFonts w:hint="eastAsia" w:ascii="楷体" w:hAnsi="楷体" w:eastAsia="楷体" w:cs="Times New Roman"/>
                <w:szCs w:val="21"/>
                <w:lang w:val="en-US" w:eastAsia="zh-CN"/>
              </w:rPr>
              <w:t>2</w:t>
            </w:r>
            <w:r>
              <w:rPr>
                <w:rFonts w:hint="eastAsia" w:ascii="楷体" w:hAnsi="楷体" w:eastAsia="楷体" w:cs="Times New Roman"/>
                <w:szCs w:val="21"/>
                <w:lang w:eastAsia="zh-CN"/>
              </w:rPr>
              <w:t>月2</w:t>
            </w:r>
            <w:r>
              <w:rPr>
                <w:rFonts w:hint="eastAsia" w:ascii="楷体" w:hAnsi="楷体" w:eastAsia="楷体" w:cs="Times New Roman"/>
                <w:szCs w:val="21"/>
                <w:lang w:val="en-US" w:eastAsia="zh-CN"/>
              </w:rPr>
              <w:t>2</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eastAsia="zh-CN"/>
              </w:rPr>
              <w:t>2023年8月24日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2023年8月18日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2023年8月24日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2023年8月25日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2023年8月25日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2024年2月29日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2024年2月23日9:00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2024年2月29日17:00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2024年3月1日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2024年3月1日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eastAsia="zh-CN"/>
              </w:rPr>
              <w:t>2024年9月2日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2024年8月2</w:t>
            </w:r>
            <w:r>
              <w:rPr>
                <w:rFonts w:hint="eastAsia" w:ascii="楷体" w:hAnsi="楷体" w:eastAsia="楷体" w:cs="Times New Roman"/>
                <w:sz w:val="20"/>
                <w:szCs w:val="20"/>
                <w:lang w:val="en-US" w:eastAsia="zh-CN"/>
              </w:rPr>
              <w:t>3</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eastAsia="zh-CN"/>
              </w:rPr>
              <w:t>2024年9月2日17:00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eastAsia="zh-CN"/>
              </w:rPr>
              <w:t>2024年9月3日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9</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3</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2025年3月6日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26</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outlineLvl w:val="9"/>
              <w:rPr>
                <w:rFonts w:hint="eastAsia" w:ascii="楷体" w:hAnsi="楷体" w:eastAsia="楷体" w:cs="Times New Roman"/>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3</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6</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2025年3月7日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6</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w:t>
            </w:r>
            <w:r>
              <w:rPr>
                <w:rFonts w:hint="eastAsia" w:ascii="楷体" w:hAnsi="楷体" w:eastAsia="楷体" w:cs="Times New Roman"/>
                <w:szCs w:val="21"/>
                <w:lang w:val="en-US" w:eastAsia="zh-CN"/>
              </w:rPr>
              <w:t>5</w:t>
            </w:r>
            <w:r>
              <w:rPr>
                <w:rFonts w:hint="eastAsia" w:ascii="楷体" w:hAnsi="楷体" w:eastAsia="楷体" w:cs="Times New Roman"/>
                <w:szCs w:val="21"/>
                <w:lang w:eastAsia="zh-CN"/>
              </w:rPr>
              <w:t>年</w:t>
            </w:r>
            <w:r>
              <w:rPr>
                <w:rFonts w:hint="eastAsia" w:ascii="楷体" w:hAnsi="楷体" w:eastAsia="楷体" w:cs="Times New Roman"/>
                <w:szCs w:val="21"/>
                <w:lang w:val="en-US" w:eastAsia="zh-CN"/>
              </w:rPr>
              <w:t>3月7</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Calibri" w:eastAsia="楷体" w:cs="楷体"/>
                <w:color w:val="000000"/>
                <w:kern w:val="0"/>
                <w:sz w:val="20"/>
                <w:szCs w:val="20"/>
                <w:lang w:val="en-US" w:eastAsia="zh-CN"/>
              </w:rPr>
              <w:t>2025年9月8日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29</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9</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Calibri" w:eastAsia="楷体" w:cs="楷体"/>
                <w:color w:val="000000"/>
                <w:kern w:val="0"/>
                <w:sz w:val="20"/>
                <w:szCs w:val="20"/>
                <w:lang w:val="en-US" w:eastAsia="zh-CN"/>
              </w:rPr>
              <w:t>2025年9月9日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7</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Calibri" w:eastAsia="楷体" w:cs="楷体"/>
                <w:color w:val="000000"/>
                <w:kern w:val="0"/>
                <w:sz w:val="20"/>
                <w:szCs w:val="20"/>
                <w:lang w:val="en-US" w:eastAsia="zh-CN"/>
              </w:rPr>
              <w:t>2025年9月9日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2026年3月16日</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2026年3月17日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8</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2026年3月17日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Calibri"/>
                <w:sz w:val="20"/>
                <w:szCs w:val="20"/>
                <w:vertAlign w:val="baseline"/>
                <w:lang w:val="en-US"/>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w:t>
            </w:r>
            <w:r>
              <w:rPr>
                <w:rFonts w:hint="eastAsia" w:ascii="楷体" w:hAnsi="楷体" w:eastAsia="楷体" w:cs="Calibri"/>
                <w:sz w:val="20"/>
                <w:szCs w:val="20"/>
                <w:lang w:val="en-US" w:eastAsia="zh-CN"/>
              </w:rPr>
              <w:t>,</w:t>
            </w:r>
            <w:r>
              <w:rPr>
                <w:rFonts w:hint="eastAsia" w:ascii="楷体" w:hAnsi="楷体" w:eastAsia="楷体" w:cs="Calibri"/>
                <w:sz w:val="20"/>
                <w:szCs w:val="20"/>
                <w:lang w:eastAsia="zh-CN"/>
              </w:rPr>
              <w:t>000</w:t>
            </w:r>
            <w:r>
              <w:rPr>
                <w:rFonts w:hint="eastAsia" w:ascii="楷体" w:hAnsi="楷体" w:eastAsia="楷体" w:cs="Calibri"/>
                <w:sz w:val="20"/>
                <w:szCs w:val="20"/>
                <w:lang w:val="en-US" w:eastAsia="zh-CN"/>
              </w:rPr>
              <w:t>,000</w:t>
            </w:r>
            <w:r>
              <w:rPr>
                <w:rFonts w:hint="eastAsia" w:ascii="楷体" w:hAnsi="楷体" w:eastAsia="楷体" w:cs="Calibri"/>
                <w:sz w:val="20"/>
                <w:szCs w:val="20"/>
                <w:lang w:eastAsia="zh-CN"/>
              </w:rPr>
              <w:t>元，并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K份额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lang w:val="en-US" w:eastAsia="zh-CN"/>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w:t>
      </w:r>
      <w:r>
        <w:rPr>
          <w:rFonts w:hint="eastAsia" w:ascii="楷体" w:hAnsi="楷体" w:eastAsia="楷体" w:cs="Calibri"/>
          <w:sz w:val="24"/>
          <w:szCs w:val="24"/>
          <w:lang w:val="en-US" w:eastAsia="zh-CN"/>
        </w:rPr>
        <w:t>赎回</w:t>
      </w:r>
      <w:r>
        <w:rPr>
          <w:rFonts w:hint="eastAsia" w:ascii="楷体" w:hAnsi="楷体" w:eastAsia="楷体" w:cs="Calibri"/>
          <w:sz w:val="24"/>
          <w:szCs w:val="24"/>
        </w:rPr>
        <w:t>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w:t>
      </w:r>
      <w:r>
        <w:rPr>
          <w:rFonts w:hint="eastAsia" w:ascii="楷体" w:hAnsi="楷体" w:eastAsia="楷体"/>
          <w:color w:val="auto"/>
          <w:sz w:val="24"/>
          <w:szCs w:val="24"/>
          <w:highlight w:val="none"/>
        </w:rPr>
        <w:t>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r>
        <w:rPr>
          <w:rFonts w:hint="eastAsia" w:ascii="楷体" w:hAnsi="楷体" w:eastAsia="楷体"/>
          <w:sz w:val="24"/>
          <w:szCs w:val="24"/>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w:t>
      </w:r>
      <w:r>
        <w:rPr>
          <w:rFonts w:hint="eastAsia" w:ascii="楷体" w:hAnsi="楷体" w:eastAsia="楷体" w:cs="Times New Roman"/>
          <w:sz w:val="24"/>
          <w:szCs w:val="24"/>
        </w:rPr>
        <w:t>超额业绩报酬。假设单一投资周期的各份额实际年化投资收益在扣除托管费、销售服务费、投资管理费以及运作产品所必须缴纳的税费后为R：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若R&lt;业绩比较基准下限+（业绩比较基准上限-业绩比较基准下限）*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5%，管理人无超额业绩报酬；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5%≤R&lt;业绩比较基准上限，管理人对超出【业绩比较基准下限+（业绩比较基准上限-业绩比较基准下限）*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5%】的部分收取40%的超额业绩报酬；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若R≥业绩比较基准上限，管理人对【业绩比较基准下限+（业绩比较基准上限-业绩比较基准下限）*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val="en-US"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1C44"/>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E7D1B"/>
    <w:rsid w:val="000F0433"/>
    <w:rsid w:val="000F19D4"/>
    <w:rsid w:val="000F1D3C"/>
    <w:rsid w:val="000F2BB5"/>
    <w:rsid w:val="000F3D5D"/>
    <w:rsid w:val="000F4243"/>
    <w:rsid w:val="000F4811"/>
    <w:rsid w:val="000F4ABF"/>
    <w:rsid w:val="000F510B"/>
    <w:rsid w:val="000F5B66"/>
    <w:rsid w:val="000F5FF6"/>
    <w:rsid w:val="000F65C5"/>
    <w:rsid w:val="000F6A6E"/>
    <w:rsid w:val="000F7056"/>
    <w:rsid w:val="000F7C89"/>
    <w:rsid w:val="000F7D2C"/>
    <w:rsid w:val="00100F0C"/>
    <w:rsid w:val="001025A3"/>
    <w:rsid w:val="00103497"/>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E6AD9"/>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5ECB"/>
    <w:rsid w:val="00256119"/>
    <w:rsid w:val="00256E57"/>
    <w:rsid w:val="0025744E"/>
    <w:rsid w:val="002579CC"/>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13F4"/>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77B13"/>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162A"/>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CB2"/>
    <w:rsid w:val="004A5E88"/>
    <w:rsid w:val="004A65C0"/>
    <w:rsid w:val="004A6C11"/>
    <w:rsid w:val="004B1E66"/>
    <w:rsid w:val="004B3D0B"/>
    <w:rsid w:val="004B4001"/>
    <w:rsid w:val="004B44B5"/>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081"/>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1C3"/>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4C40"/>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036"/>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150"/>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2AA0"/>
    <w:rsid w:val="00893C62"/>
    <w:rsid w:val="0089626D"/>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06D"/>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6DC0"/>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21C8"/>
    <w:rsid w:val="00973C9C"/>
    <w:rsid w:val="00974726"/>
    <w:rsid w:val="009752BD"/>
    <w:rsid w:val="009758CF"/>
    <w:rsid w:val="00975C56"/>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46C"/>
    <w:rsid w:val="00A14857"/>
    <w:rsid w:val="00A14944"/>
    <w:rsid w:val="00A17F32"/>
    <w:rsid w:val="00A2017E"/>
    <w:rsid w:val="00A2337E"/>
    <w:rsid w:val="00A23EB7"/>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76E"/>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1D9"/>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5453"/>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38DF"/>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568"/>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37A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3E76"/>
    <w:rsid w:val="00DD4A1A"/>
    <w:rsid w:val="00DD4DCA"/>
    <w:rsid w:val="00DD5001"/>
    <w:rsid w:val="00DD5181"/>
    <w:rsid w:val="00DD5CCB"/>
    <w:rsid w:val="00DD6003"/>
    <w:rsid w:val="00DD668A"/>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B3E"/>
    <w:rsid w:val="00EC0FC7"/>
    <w:rsid w:val="00EC2254"/>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07C31"/>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2AF"/>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07"/>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9652E"/>
    <w:rsid w:val="01941084"/>
    <w:rsid w:val="01AA3388"/>
    <w:rsid w:val="01BD44F5"/>
    <w:rsid w:val="01C8325C"/>
    <w:rsid w:val="021F0315"/>
    <w:rsid w:val="02437D0C"/>
    <w:rsid w:val="02A0029A"/>
    <w:rsid w:val="02A65A04"/>
    <w:rsid w:val="02AD767C"/>
    <w:rsid w:val="02B56B89"/>
    <w:rsid w:val="02BC0F12"/>
    <w:rsid w:val="02C0573C"/>
    <w:rsid w:val="02F96541"/>
    <w:rsid w:val="031E0EF1"/>
    <w:rsid w:val="037662C0"/>
    <w:rsid w:val="038331EE"/>
    <w:rsid w:val="03944EF2"/>
    <w:rsid w:val="039759E9"/>
    <w:rsid w:val="039E0B4E"/>
    <w:rsid w:val="04045543"/>
    <w:rsid w:val="043B5124"/>
    <w:rsid w:val="044F5401"/>
    <w:rsid w:val="047247F0"/>
    <w:rsid w:val="04825F32"/>
    <w:rsid w:val="048B3EF4"/>
    <w:rsid w:val="048C3744"/>
    <w:rsid w:val="04AD4C6B"/>
    <w:rsid w:val="04AD6172"/>
    <w:rsid w:val="04B72DAB"/>
    <w:rsid w:val="04BA6991"/>
    <w:rsid w:val="04DC5621"/>
    <w:rsid w:val="050505BC"/>
    <w:rsid w:val="051E5CB0"/>
    <w:rsid w:val="052F4F45"/>
    <w:rsid w:val="05437561"/>
    <w:rsid w:val="05A23CCF"/>
    <w:rsid w:val="05AA1E2F"/>
    <w:rsid w:val="05C24554"/>
    <w:rsid w:val="05E565EA"/>
    <w:rsid w:val="05FD7F7C"/>
    <w:rsid w:val="061606D5"/>
    <w:rsid w:val="061A2F20"/>
    <w:rsid w:val="0637609B"/>
    <w:rsid w:val="06586066"/>
    <w:rsid w:val="06703655"/>
    <w:rsid w:val="06B46E82"/>
    <w:rsid w:val="06CA5375"/>
    <w:rsid w:val="06D46993"/>
    <w:rsid w:val="07037E22"/>
    <w:rsid w:val="07061666"/>
    <w:rsid w:val="07264310"/>
    <w:rsid w:val="07277C07"/>
    <w:rsid w:val="07294742"/>
    <w:rsid w:val="07731EDA"/>
    <w:rsid w:val="078F6E8D"/>
    <w:rsid w:val="07CF0415"/>
    <w:rsid w:val="08166EC7"/>
    <w:rsid w:val="081C35B0"/>
    <w:rsid w:val="083A0B73"/>
    <w:rsid w:val="083C4697"/>
    <w:rsid w:val="083F3EDE"/>
    <w:rsid w:val="084B6744"/>
    <w:rsid w:val="087361FB"/>
    <w:rsid w:val="0886299C"/>
    <w:rsid w:val="08B41D28"/>
    <w:rsid w:val="08CF5889"/>
    <w:rsid w:val="08F80683"/>
    <w:rsid w:val="09122690"/>
    <w:rsid w:val="091A53AA"/>
    <w:rsid w:val="0947509F"/>
    <w:rsid w:val="09534C3D"/>
    <w:rsid w:val="09576019"/>
    <w:rsid w:val="099958A0"/>
    <w:rsid w:val="09A709F0"/>
    <w:rsid w:val="09B853C9"/>
    <w:rsid w:val="09C4327A"/>
    <w:rsid w:val="09DE7294"/>
    <w:rsid w:val="09E06B2B"/>
    <w:rsid w:val="0A173570"/>
    <w:rsid w:val="0A7940DE"/>
    <w:rsid w:val="0AD94DA9"/>
    <w:rsid w:val="0ADD44AA"/>
    <w:rsid w:val="0AF001C8"/>
    <w:rsid w:val="0B47433B"/>
    <w:rsid w:val="0B707790"/>
    <w:rsid w:val="0B721E65"/>
    <w:rsid w:val="0B916D6A"/>
    <w:rsid w:val="0B9D714B"/>
    <w:rsid w:val="0BAE0C81"/>
    <w:rsid w:val="0BCF2C69"/>
    <w:rsid w:val="0C103112"/>
    <w:rsid w:val="0C185298"/>
    <w:rsid w:val="0C45445B"/>
    <w:rsid w:val="0C5E5425"/>
    <w:rsid w:val="0C67544E"/>
    <w:rsid w:val="0C944AE0"/>
    <w:rsid w:val="0C973E26"/>
    <w:rsid w:val="0C9A0483"/>
    <w:rsid w:val="0CEE6F06"/>
    <w:rsid w:val="0CF97467"/>
    <w:rsid w:val="0D607017"/>
    <w:rsid w:val="0D8C4EB4"/>
    <w:rsid w:val="0DAB3C0B"/>
    <w:rsid w:val="0DAF4280"/>
    <w:rsid w:val="0DCF2703"/>
    <w:rsid w:val="0E1B645B"/>
    <w:rsid w:val="0E2603FA"/>
    <w:rsid w:val="0E9A0543"/>
    <w:rsid w:val="0E9C6088"/>
    <w:rsid w:val="0EA17082"/>
    <w:rsid w:val="0EB865DF"/>
    <w:rsid w:val="0ED05BAC"/>
    <w:rsid w:val="0EE14842"/>
    <w:rsid w:val="0EED27A2"/>
    <w:rsid w:val="0F3154A0"/>
    <w:rsid w:val="0F431724"/>
    <w:rsid w:val="0F491F0B"/>
    <w:rsid w:val="0F654FB0"/>
    <w:rsid w:val="0F746040"/>
    <w:rsid w:val="0F754D51"/>
    <w:rsid w:val="0F987405"/>
    <w:rsid w:val="0FA33859"/>
    <w:rsid w:val="0FA43D13"/>
    <w:rsid w:val="0FAE4789"/>
    <w:rsid w:val="0FBE096B"/>
    <w:rsid w:val="0FCD07E3"/>
    <w:rsid w:val="0FFF3649"/>
    <w:rsid w:val="10077588"/>
    <w:rsid w:val="100F298C"/>
    <w:rsid w:val="10850337"/>
    <w:rsid w:val="1086640A"/>
    <w:rsid w:val="108C1C3A"/>
    <w:rsid w:val="108E1095"/>
    <w:rsid w:val="10990863"/>
    <w:rsid w:val="109B7D77"/>
    <w:rsid w:val="10D2433A"/>
    <w:rsid w:val="10E55ACF"/>
    <w:rsid w:val="114A0C0C"/>
    <w:rsid w:val="114E1E51"/>
    <w:rsid w:val="11601B9E"/>
    <w:rsid w:val="116612F4"/>
    <w:rsid w:val="118C278E"/>
    <w:rsid w:val="11901742"/>
    <w:rsid w:val="11B51DFD"/>
    <w:rsid w:val="11BE04F3"/>
    <w:rsid w:val="11D04006"/>
    <w:rsid w:val="11D965ED"/>
    <w:rsid w:val="11EC350B"/>
    <w:rsid w:val="129E4936"/>
    <w:rsid w:val="12B9415A"/>
    <w:rsid w:val="12F90576"/>
    <w:rsid w:val="135E7F47"/>
    <w:rsid w:val="136369E3"/>
    <w:rsid w:val="13657B38"/>
    <w:rsid w:val="136D1AC7"/>
    <w:rsid w:val="13A4655C"/>
    <w:rsid w:val="13EB4DC2"/>
    <w:rsid w:val="14273F21"/>
    <w:rsid w:val="14921F27"/>
    <w:rsid w:val="149D5E5C"/>
    <w:rsid w:val="149E4339"/>
    <w:rsid w:val="14C32636"/>
    <w:rsid w:val="14CD5364"/>
    <w:rsid w:val="1538519D"/>
    <w:rsid w:val="15630760"/>
    <w:rsid w:val="15817B5F"/>
    <w:rsid w:val="158E7E44"/>
    <w:rsid w:val="159508DF"/>
    <w:rsid w:val="15B824AE"/>
    <w:rsid w:val="15CF287D"/>
    <w:rsid w:val="15CF685F"/>
    <w:rsid w:val="15DF4C1A"/>
    <w:rsid w:val="16717C60"/>
    <w:rsid w:val="16B1769F"/>
    <w:rsid w:val="16C12DFE"/>
    <w:rsid w:val="16D34A53"/>
    <w:rsid w:val="16D5416C"/>
    <w:rsid w:val="17372127"/>
    <w:rsid w:val="17570594"/>
    <w:rsid w:val="175F5C40"/>
    <w:rsid w:val="177F5218"/>
    <w:rsid w:val="178C370E"/>
    <w:rsid w:val="17A115B9"/>
    <w:rsid w:val="17BA313B"/>
    <w:rsid w:val="17C735C9"/>
    <w:rsid w:val="17DD217F"/>
    <w:rsid w:val="18485B9A"/>
    <w:rsid w:val="18887BCD"/>
    <w:rsid w:val="18B275C6"/>
    <w:rsid w:val="18CB2B68"/>
    <w:rsid w:val="18CC4EE4"/>
    <w:rsid w:val="19270461"/>
    <w:rsid w:val="192B2CC4"/>
    <w:rsid w:val="193E23D2"/>
    <w:rsid w:val="19552750"/>
    <w:rsid w:val="195F39CC"/>
    <w:rsid w:val="19866070"/>
    <w:rsid w:val="198714D0"/>
    <w:rsid w:val="19A03892"/>
    <w:rsid w:val="19D267B4"/>
    <w:rsid w:val="19E24EB0"/>
    <w:rsid w:val="19F76CF3"/>
    <w:rsid w:val="1A5E0991"/>
    <w:rsid w:val="1AAF1FBF"/>
    <w:rsid w:val="1AE87C38"/>
    <w:rsid w:val="1B081AAC"/>
    <w:rsid w:val="1B1644A1"/>
    <w:rsid w:val="1B432DC7"/>
    <w:rsid w:val="1B5015DA"/>
    <w:rsid w:val="1B60003E"/>
    <w:rsid w:val="1B6B01EB"/>
    <w:rsid w:val="1B7D4BD2"/>
    <w:rsid w:val="1BF50FD3"/>
    <w:rsid w:val="1C044D65"/>
    <w:rsid w:val="1C3F77F6"/>
    <w:rsid w:val="1C5448EC"/>
    <w:rsid w:val="1C853B67"/>
    <w:rsid w:val="1CE66A75"/>
    <w:rsid w:val="1D066662"/>
    <w:rsid w:val="1DAC7E70"/>
    <w:rsid w:val="1DAF5863"/>
    <w:rsid w:val="1DDC7E69"/>
    <w:rsid w:val="1DEB481D"/>
    <w:rsid w:val="1DFD7864"/>
    <w:rsid w:val="1E0820A4"/>
    <w:rsid w:val="1E6F3314"/>
    <w:rsid w:val="1EAE1EFC"/>
    <w:rsid w:val="1ECE785D"/>
    <w:rsid w:val="1F1C0115"/>
    <w:rsid w:val="1F4910F1"/>
    <w:rsid w:val="1F5E32BF"/>
    <w:rsid w:val="1F960075"/>
    <w:rsid w:val="1FE1451E"/>
    <w:rsid w:val="1FF07889"/>
    <w:rsid w:val="1FFC1C70"/>
    <w:rsid w:val="205D63FB"/>
    <w:rsid w:val="20715E11"/>
    <w:rsid w:val="208C27F0"/>
    <w:rsid w:val="20B92DC1"/>
    <w:rsid w:val="20C66E16"/>
    <w:rsid w:val="20D9340A"/>
    <w:rsid w:val="20E93259"/>
    <w:rsid w:val="21065F9A"/>
    <w:rsid w:val="211C3761"/>
    <w:rsid w:val="21550B1F"/>
    <w:rsid w:val="217C6C3A"/>
    <w:rsid w:val="21830708"/>
    <w:rsid w:val="218B4791"/>
    <w:rsid w:val="21965E5F"/>
    <w:rsid w:val="21994ACB"/>
    <w:rsid w:val="21BD6F61"/>
    <w:rsid w:val="21CC2A81"/>
    <w:rsid w:val="21D76BFA"/>
    <w:rsid w:val="224E1196"/>
    <w:rsid w:val="225459BF"/>
    <w:rsid w:val="22626E35"/>
    <w:rsid w:val="22734564"/>
    <w:rsid w:val="227A2C20"/>
    <w:rsid w:val="22840A30"/>
    <w:rsid w:val="22957DC6"/>
    <w:rsid w:val="23026BDF"/>
    <w:rsid w:val="231E24DA"/>
    <w:rsid w:val="23305C26"/>
    <w:rsid w:val="235B6EB4"/>
    <w:rsid w:val="239D3550"/>
    <w:rsid w:val="239F1C36"/>
    <w:rsid w:val="23DE761C"/>
    <w:rsid w:val="23F5276C"/>
    <w:rsid w:val="24253F78"/>
    <w:rsid w:val="242E4AC5"/>
    <w:rsid w:val="245276BF"/>
    <w:rsid w:val="247058DA"/>
    <w:rsid w:val="247E1C04"/>
    <w:rsid w:val="248756C9"/>
    <w:rsid w:val="24AE36B3"/>
    <w:rsid w:val="24C71EE9"/>
    <w:rsid w:val="24D63B89"/>
    <w:rsid w:val="24F75F56"/>
    <w:rsid w:val="2527511E"/>
    <w:rsid w:val="25290E59"/>
    <w:rsid w:val="254E752B"/>
    <w:rsid w:val="25736534"/>
    <w:rsid w:val="259C5174"/>
    <w:rsid w:val="25AB0BC2"/>
    <w:rsid w:val="25B32DCA"/>
    <w:rsid w:val="25E669E3"/>
    <w:rsid w:val="25FB49C4"/>
    <w:rsid w:val="2612291C"/>
    <w:rsid w:val="261351E4"/>
    <w:rsid w:val="26930344"/>
    <w:rsid w:val="26C80235"/>
    <w:rsid w:val="26C95767"/>
    <w:rsid w:val="26CF0968"/>
    <w:rsid w:val="26D75FF3"/>
    <w:rsid w:val="26DF3E05"/>
    <w:rsid w:val="27065738"/>
    <w:rsid w:val="271D37C5"/>
    <w:rsid w:val="277B5DB0"/>
    <w:rsid w:val="27C17BB1"/>
    <w:rsid w:val="27C31A8F"/>
    <w:rsid w:val="27FE7441"/>
    <w:rsid w:val="282213C7"/>
    <w:rsid w:val="284635B8"/>
    <w:rsid w:val="284D27E8"/>
    <w:rsid w:val="28544CF4"/>
    <w:rsid w:val="289419A8"/>
    <w:rsid w:val="28A904E4"/>
    <w:rsid w:val="28B36E23"/>
    <w:rsid w:val="28D53B5D"/>
    <w:rsid w:val="28E24AD8"/>
    <w:rsid w:val="28EC7658"/>
    <w:rsid w:val="29163A09"/>
    <w:rsid w:val="29374942"/>
    <w:rsid w:val="294C4B13"/>
    <w:rsid w:val="294D3CE5"/>
    <w:rsid w:val="296034C4"/>
    <w:rsid w:val="2966392B"/>
    <w:rsid w:val="29856946"/>
    <w:rsid w:val="29C45E39"/>
    <w:rsid w:val="2A254610"/>
    <w:rsid w:val="2A3B3339"/>
    <w:rsid w:val="2A630AC9"/>
    <w:rsid w:val="2A6956F3"/>
    <w:rsid w:val="2A8E286C"/>
    <w:rsid w:val="2A92281F"/>
    <w:rsid w:val="2B1D0B42"/>
    <w:rsid w:val="2B992916"/>
    <w:rsid w:val="2BC236FD"/>
    <w:rsid w:val="2BD06B14"/>
    <w:rsid w:val="2BE45C5A"/>
    <w:rsid w:val="2BED3FE5"/>
    <w:rsid w:val="2C0F4465"/>
    <w:rsid w:val="2C282037"/>
    <w:rsid w:val="2C565E20"/>
    <w:rsid w:val="2C8E54B7"/>
    <w:rsid w:val="2C9F7A9F"/>
    <w:rsid w:val="2CA03B11"/>
    <w:rsid w:val="2CA704E8"/>
    <w:rsid w:val="2CCB73C5"/>
    <w:rsid w:val="2D0D46EE"/>
    <w:rsid w:val="2D100634"/>
    <w:rsid w:val="2D2C1113"/>
    <w:rsid w:val="2D315D56"/>
    <w:rsid w:val="2D334B54"/>
    <w:rsid w:val="2D5937A2"/>
    <w:rsid w:val="2D801BBD"/>
    <w:rsid w:val="2DB23EAD"/>
    <w:rsid w:val="2DF11E3C"/>
    <w:rsid w:val="2E411057"/>
    <w:rsid w:val="2E771812"/>
    <w:rsid w:val="2E995E2C"/>
    <w:rsid w:val="2ECC33FC"/>
    <w:rsid w:val="2EEF4F93"/>
    <w:rsid w:val="2EF847F3"/>
    <w:rsid w:val="2EF87391"/>
    <w:rsid w:val="2F14646A"/>
    <w:rsid w:val="2F2F0392"/>
    <w:rsid w:val="2F5A33C9"/>
    <w:rsid w:val="2F623F10"/>
    <w:rsid w:val="2F9828BE"/>
    <w:rsid w:val="2FA26A35"/>
    <w:rsid w:val="300C0A9F"/>
    <w:rsid w:val="30293DD9"/>
    <w:rsid w:val="30294569"/>
    <w:rsid w:val="306A0347"/>
    <w:rsid w:val="307C7CFB"/>
    <w:rsid w:val="30AE6D78"/>
    <w:rsid w:val="30EC1F03"/>
    <w:rsid w:val="30EE1123"/>
    <w:rsid w:val="30F03DE3"/>
    <w:rsid w:val="313A5F04"/>
    <w:rsid w:val="31550423"/>
    <w:rsid w:val="31955CCD"/>
    <w:rsid w:val="31991295"/>
    <w:rsid w:val="31A326AD"/>
    <w:rsid w:val="31C33672"/>
    <w:rsid w:val="31C36C9B"/>
    <w:rsid w:val="31D71D58"/>
    <w:rsid w:val="31DD2EED"/>
    <w:rsid w:val="31E12CCA"/>
    <w:rsid w:val="320C6DBE"/>
    <w:rsid w:val="32106897"/>
    <w:rsid w:val="325357B0"/>
    <w:rsid w:val="325722E0"/>
    <w:rsid w:val="32BD2B00"/>
    <w:rsid w:val="32E06116"/>
    <w:rsid w:val="32E13316"/>
    <w:rsid w:val="3301632F"/>
    <w:rsid w:val="3302137C"/>
    <w:rsid w:val="33071848"/>
    <w:rsid w:val="332B28ED"/>
    <w:rsid w:val="336B039B"/>
    <w:rsid w:val="33944FB7"/>
    <w:rsid w:val="33A57B02"/>
    <w:rsid w:val="33CA2E88"/>
    <w:rsid w:val="33E90DB9"/>
    <w:rsid w:val="340121F5"/>
    <w:rsid w:val="340D75AE"/>
    <w:rsid w:val="34554B1A"/>
    <w:rsid w:val="34624022"/>
    <w:rsid w:val="347B54B1"/>
    <w:rsid w:val="347E5E21"/>
    <w:rsid w:val="349204AB"/>
    <w:rsid w:val="34A623E5"/>
    <w:rsid w:val="34CE03A5"/>
    <w:rsid w:val="34D05355"/>
    <w:rsid w:val="34DE5757"/>
    <w:rsid w:val="34E06695"/>
    <w:rsid w:val="34EE59FB"/>
    <w:rsid w:val="34F33587"/>
    <w:rsid w:val="351C08D6"/>
    <w:rsid w:val="353B7940"/>
    <w:rsid w:val="35654C9D"/>
    <w:rsid w:val="35AA0E18"/>
    <w:rsid w:val="35AF3D1E"/>
    <w:rsid w:val="35BE79AB"/>
    <w:rsid w:val="36055C6F"/>
    <w:rsid w:val="360B2D83"/>
    <w:rsid w:val="361B3D43"/>
    <w:rsid w:val="362A21C7"/>
    <w:rsid w:val="362A7306"/>
    <w:rsid w:val="36433849"/>
    <w:rsid w:val="365D339C"/>
    <w:rsid w:val="36805B26"/>
    <w:rsid w:val="368A2ACE"/>
    <w:rsid w:val="36B50F52"/>
    <w:rsid w:val="36C6076B"/>
    <w:rsid w:val="36C97E46"/>
    <w:rsid w:val="370E636B"/>
    <w:rsid w:val="37220098"/>
    <w:rsid w:val="376D550C"/>
    <w:rsid w:val="37830E5C"/>
    <w:rsid w:val="37C91F43"/>
    <w:rsid w:val="37F44956"/>
    <w:rsid w:val="380A32C1"/>
    <w:rsid w:val="382658FC"/>
    <w:rsid w:val="38405B2E"/>
    <w:rsid w:val="3844402B"/>
    <w:rsid w:val="38444280"/>
    <w:rsid w:val="38563E9E"/>
    <w:rsid w:val="386065C9"/>
    <w:rsid w:val="38DA1810"/>
    <w:rsid w:val="38E22BD3"/>
    <w:rsid w:val="38F537D9"/>
    <w:rsid w:val="38FD29F8"/>
    <w:rsid w:val="39120B3D"/>
    <w:rsid w:val="391C197A"/>
    <w:rsid w:val="39236D04"/>
    <w:rsid w:val="39453283"/>
    <w:rsid w:val="39520BBE"/>
    <w:rsid w:val="39B34E69"/>
    <w:rsid w:val="3A0450A3"/>
    <w:rsid w:val="3A4849FC"/>
    <w:rsid w:val="3A5F6372"/>
    <w:rsid w:val="3A7007EE"/>
    <w:rsid w:val="3A7D5C19"/>
    <w:rsid w:val="3A9116C3"/>
    <w:rsid w:val="3A944955"/>
    <w:rsid w:val="3ACA38F1"/>
    <w:rsid w:val="3AD90077"/>
    <w:rsid w:val="3B0A455B"/>
    <w:rsid w:val="3B7E5E5A"/>
    <w:rsid w:val="3B9519DF"/>
    <w:rsid w:val="3BB730EC"/>
    <w:rsid w:val="3BD777F0"/>
    <w:rsid w:val="3BE57419"/>
    <w:rsid w:val="3BEC37EC"/>
    <w:rsid w:val="3BED503B"/>
    <w:rsid w:val="3C213D1A"/>
    <w:rsid w:val="3C350E86"/>
    <w:rsid w:val="3C563F5E"/>
    <w:rsid w:val="3C63747C"/>
    <w:rsid w:val="3C810AAF"/>
    <w:rsid w:val="3CB22CB3"/>
    <w:rsid w:val="3CB25A79"/>
    <w:rsid w:val="3CC47E43"/>
    <w:rsid w:val="3D153712"/>
    <w:rsid w:val="3D205CE9"/>
    <w:rsid w:val="3D2560BE"/>
    <w:rsid w:val="3D3654E2"/>
    <w:rsid w:val="3D5F70CE"/>
    <w:rsid w:val="3D814F8F"/>
    <w:rsid w:val="3D854DB6"/>
    <w:rsid w:val="3DCE0E0E"/>
    <w:rsid w:val="3DDD5D91"/>
    <w:rsid w:val="3DE45D7C"/>
    <w:rsid w:val="3DFF627C"/>
    <w:rsid w:val="3E060330"/>
    <w:rsid w:val="3E240F83"/>
    <w:rsid w:val="3E2D678E"/>
    <w:rsid w:val="3E335F6C"/>
    <w:rsid w:val="3E363543"/>
    <w:rsid w:val="3E5A73F5"/>
    <w:rsid w:val="3EBB2E89"/>
    <w:rsid w:val="3EBD2EFD"/>
    <w:rsid w:val="3ED234C6"/>
    <w:rsid w:val="3EE10B0A"/>
    <w:rsid w:val="3F037627"/>
    <w:rsid w:val="3F252E1E"/>
    <w:rsid w:val="3F407D22"/>
    <w:rsid w:val="3F5A0BF4"/>
    <w:rsid w:val="3F8D7CAC"/>
    <w:rsid w:val="3FBE4A8F"/>
    <w:rsid w:val="3FDB054C"/>
    <w:rsid w:val="3FDD0FD4"/>
    <w:rsid w:val="3FFD49EC"/>
    <w:rsid w:val="40050A9D"/>
    <w:rsid w:val="40093FFF"/>
    <w:rsid w:val="400E5B29"/>
    <w:rsid w:val="404F2A44"/>
    <w:rsid w:val="404F39B8"/>
    <w:rsid w:val="406A7FA5"/>
    <w:rsid w:val="407A4294"/>
    <w:rsid w:val="4085012A"/>
    <w:rsid w:val="40CE75B7"/>
    <w:rsid w:val="40E440DD"/>
    <w:rsid w:val="412F6022"/>
    <w:rsid w:val="413D276F"/>
    <w:rsid w:val="41401B50"/>
    <w:rsid w:val="41482267"/>
    <w:rsid w:val="414B52F2"/>
    <w:rsid w:val="41721401"/>
    <w:rsid w:val="41E76481"/>
    <w:rsid w:val="420C0383"/>
    <w:rsid w:val="421E39DE"/>
    <w:rsid w:val="42416FEC"/>
    <w:rsid w:val="42912640"/>
    <w:rsid w:val="42AF1545"/>
    <w:rsid w:val="42B51F17"/>
    <w:rsid w:val="42B80334"/>
    <w:rsid w:val="430C2FED"/>
    <w:rsid w:val="43293D30"/>
    <w:rsid w:val="433F14E9"/>
    <w:rsid w:val="43671974"/>
    <w:rsid w:val="437B1948"/>
    <w:rsid w:val="4389418F"/>
    <w:rsid w:val="43AC2D2C"/>
    <w:rsid w:val="43BF487F"/>
    <w:rsid w:val="43E875DF"/>
    <w:rsid w:val="43F12901"/>
    <w:rsid w:val="43F55327"/>
    <w:rsid w:val="440E073A"/>
    <w:rsid w:val="441E0867"/>
    <w:rsid w:val="44317713"/>
    <w:rsid w:val="44383A9C"/>
    <w:rsid w:val="444013FB"/>
    <w:rsid w:val="44576E56"/>
    <w:rsid w:val="44A735ED"/>
    <w:rsid w:val="44C878DF"/>
    <w:rsid w:val="44DF4FDA"/>
    <w:rsid w:val="44FA72D5"/>
    <w:rsid w:val="458D4AC2"/>
    <w:rsid w:val="45D31532"/>
    <w:rsid w:val="462F4507"/>
    <w:rsid w:val="46491A3D"/>
    <w:rsid w:val="465E26CD"/>
    <w:rsid w:val="468A334A"/>
    <w:rsid w:val="46926F78"/>
    <w:rsid w:val="469411E8"/>
    <w:rsid w:val="46996AFD"/>
    <w:rsid w:val="46C70FE2"/>
    <w:rsid w:val="46E16124"/>
    <w:rsid w:val="472F391B"/>
    <w:rsid w:val="474E1C9F"/>
    <w:rsid w:val="47525EA8"/>
    <w:rsid w:val="475B335F"/>
    <w:rsid w:val="47665A62"/>
    <w:rsid w:val="47721D11"/>
    <w:rsid w:val="47AF7F0C"/>
    <w:rsid w:val="47DF749A"/>
    <w:rsid w:val="4844142F"/>
    <w:rsid w:val="48691C03"/>
    <w:rsid w:val="48A30F50"/>
    <w:rsid w:val="48CD2C1D"/>
    <w:rsid w:val="48DA7951"/>
    <w:rsid w:val="492C007A"/>
    <w:rsid w:val="49583C22"/>
    <w:rsid w:val="49637829"/>
    <w:rsid w:val="49860B77"/>
    <w:rsid w:val="49AC22D5"/>
    <w:rsid w:val="49CF168F"/>
    <w:rsid w:val="4A120FE1"/>
    <w:rsid w:val="4A2C4ED1"/>
    <w:rsid w:val="4A3944EC"/>
    <w:rsid w:val="4A422BB4"/>
    <w:rsid w:val="4A5962E1"/>
    <w:rsid w:val="4A8357F4"/>
    <w:rsid w:val="4A9D0981"/>
    <w:rsid w:val="4AF27984"/>
    <w:rsid w:val="4B0E6C31"/>
    <w:rsid w:val="4B281141"/>
    <w:rsid w:val="4B3B403E"/>
    <w:rsid w:val="4B4F3218"/>
    <w:rsid w:val="4B51370B"/>
    <w:rsid w:val="4B960AD3"/>
    <w:rsid w:val="4BA969BD"/>
    <w:rsid w:val="4BC87169"/>
    <w:rsid w:val="4C0E5BAD"/>
    <w:rsid w:val="4C407B1D"/>
    <w:rsid w:val="4C6843B9"/>
    <w:rsid w:val="4C787F28"/>
    <w:rsid w:val="4C897206"/>
    <w:rsid w:val="4CAC15F2"/>
    <w:rsid w:val="4CAF07ED"/>
    <w:rsid w:val="4CDE2581"/>
    <w:rsid w:val="4CF12639"/>
    <w:rsid w:val="4CF519CA"/>
    <w:rsid w:val="4D1363DA"/>
    <w:rsid w:val="4D3814B0"/>
    <w:rsid w:val="4D446AB0"/>
    <w:rsid w:val="4D9419E9"/>
    <w:rsid w:val="4D94632D"/>
    <w:rsid w:val="4D956F2D"/>
    <w:rsid w:val="4DB74AE6"/>
    <w:rsid w:val="4DB908E0"/>
    <w:rsid w:val="4DFC5EC7"/>
    <w:rsid w:val="4E1757A7"/>
    <w:rsid w:val="4E245191"/>
    <w:rsid w:val="4E37077B"/>
    <w:rsid w:val="4E441AD1"/>
    <w:rsid w:val="4E4F1FF1"/>
    <w:rsid w:val="4E5E7CB1"/>
    <w:rsid w:val="4E914F36"/>
    <w:rsid w:val="4E96120B"/>
    <w:rsid w:val="4E9B4882"/>
    <w:rsid w:val="4E9D1CC1"/>
    <w:rsid w:val="4EA418D7"/>
    <w:rsid w:val="4EB23DF4"/>
    <w:rsid w:val="4EDD7815"/>
    <w:rsid w:val="4EDF0658"/>
    <w:rsid w:val="4F083DDD"/>
    <w:rsid w:val="4F1E101B"/>
    <w:rsid w:val="4F8A1494"/>
    <w:rsid w:val="4FA30B47"/>
    <w:rsid w:val="4FAF3057"/>
    <w:rsid w:val="50062B08"/>
    <w:rsid w:val="500E49D5"/>
    <w:rsid w:val="502E27B1"/>
    <w:rsid w:val="50367D95"/>
    <w:rsid w:val="50744F9F"/>
    <w:rsid w:val="50793F4C"/>
    <w:rsid w:val="50975EFF"/>
    <w:rsid w:val="50AA7FF2"/>
    <w:rsid w:val="50C17A82"/>
    <w:rsid w:val="50D868AD"/>
    <w:rsid w:val="50F03938"/>
    <w:rsid w:val="50F86A30"/>
    <w:rsid w:val="511F22D1"/>
    <w:rsid w:val="5128779C"/>
    <w:rsid w:val="51470759"/>
    <w:rsid w:val="51603484"/>
    <w:rsid w:val="517D0D85"/>
    <w:rsid w:val="518566CD"/>
    <w:rsid w:val="51FA6226"/>
    <w:rsid w:val="52042A30"/>
    <w:rsid w:val="52244276"/>
    <w:rsid w:val="52481BB7"/>
    <w:rsid w:val="5271353A"/>
    <w:rsid w:val="52756E32"/>
    <w:rsid w:val="52B249E1"/>
    <w:rsid w:val="53397575"/>
    <w:rsid w:val="533B68D4"/>
    <w:rsid w:val="536D40F6"/>
    <w:rsid w:val="53A62B5F"/>
    <w:rsid w:val="53A97A53"/>
    <w:rsid w:val="53B66243"/>
    <w:rsid w:val="53C749F1"/>
    <w:rsid w:val="53CF76BD"/>
    <w:rsid w:val="53D41221"/>
    <w:rsid w:val="53E64A5C"/>
    <w:rsid w:val="53F520EF"/>
    <w:rsid w:val="53F9098C"/>
    <w:rsid w:val="53FA26A5"/>
    <w:rsid w:val="53FC0CC1"/>
    <w:rsid w:val="541933E7"/>
    <w:rsid w:val="54235856"/>
    <w:rsid w:val="5448720F"/>
    <w:rsid w:val="5466792E"/>
    <w:rsid w:val="547A1BBE"/>
    <w:rsid w:val="54946966"/>
    <w:rsid w:val="54A62B2E"/>
    <w:rsid w:val="54A86EFB"/>
    <w:rsid w:val="54C75B22"/>
    <w:rsid w:val="54E22AC6"/>
    <w:rsid w:val="54F061B5"/>
    <w:rsid w:val="55221270"/>
    <w:rsid w:val="556F07D3"/>
    <w:rsid w:val="558B5037"/>
    <w:rsid w:val="559E7102"/>
    <w:rsid w:val="55B56202"/>
    <w:rsid w:val="55C825EE"/>
    <w:rsid w:val="55D6017A"/>
    <w:rsid w:val="55F173C8"/>
    <w:rsid w:val="56141926"/>
    <w:rsid w:val="56273479"/>
    <w:rsid w:val="563848C2"/>
    <w:rsid w:val="56422A50"/>
    <w:rsid w:val="567468CD"/>
    <w:rsid w:val="56793A04"/>
    <w:rsid w:val="56892168"/>
    <w:rsid w:val="56910AD7"/>
    <w:rsid w:val="56AE1574"/>
    <w:rsid w:val="56C91E46"/>
    <w:rsid w:val="56D420FA"/>
    <w:rsid w:val="57040E84"/>
    <w:rsid w:val="57092714"/>
    <w:rsid w:val="57396587"/>
    <w:rsid w:val="575018F9"/>
    <w:rsid w:val="57527777"/>
    <w:rsid w:val="577B3BA6"/>
    <w:rsid w:val="57823E9E"/>
    <w:rsid w:val="578C525A"/>
    <w:rsid w:val="578D4DAC"/>
    <w:rsid w:val="57B476B2"/>
    <w:rsid w:val="57F24C5E"/>
    <w:rsid w:val="5807630B"/>
    <w:rsid w:val="584E5BD4"/>
    <w:rsid w:val="586E26DB"/>
    <w:rsid w:val="586F0F37"/>
    <w:rsid w:val="58870761"/>
    <w:rsid w:val="588843BD"/>
    <w:rsid w:val="58C42A70"/>
    <w:rsid w:val="58F91E12"/>
    <w:rsid w:val="59276FB0"/>
    <w:rsid w:val="593C4DF0"/>
    <w:rsid w:val="594451AA"/>
    <w:rsid w:val="594C09E9"/>
    <w:rsid w:val="59AB3818"/>
    <w:rsid w:val="59BA4A4F"/>
    <w:rsid w:val="59FA5C48"/>
    <w:rsid w:val="5A23615A"/>
    <w:rsid w:val="5A594CC3"/>
    <w:rsid w:val="5AB62645"/>
    <w:rsid w:val="5AB62E9E"/>
    <w:rsid w:val="5AEC0A29"/>
    <w:rsid w:val="5BA63FF8"/>
    <w:rsid w:val="5BFC0629"/>
    <w:rsid w:val="5C0C687B"/>
    <w:rsid w:val="5C1025D6"/>
    <w:rsid w:val="5C194070"/>
    <w:rsid w:val="5CA950B8"/>
    <w:rsid w:val="5CC34927"/>
    <w:rsid w:val="5CCC40A8"/>
    <w:rsid w:val="5CD840A6"/>
    <w:rsid w:val="5D743D7A"/>
    <w:rsid w:val="5DC846DB"/>
    <w:rsid w:val="5DEF1492"/>
    <w:rsid w:val="5E62490A"/>
    <w:rsid w:val="5E9450EA"/>
    <w:rsid w:val="5EA56B79"/>
    <w:rsid w:val="5EAA05AA"/>
    <w:rsid w:val="5EAA2C32"/>
    <w:rsid w:val="5EB553EF"/>
    <w:rsid w:val="5EC24062"/>
    <w:rsid w:val="5EE43EBD"/>
    <w:rsid w:val="5EE6497B"/>
    <w:rsid w:val="5EE86421"/>
    <w:rsid w:val="5F4A0338"/>
    <w:rsid w:val="5F4B6306"/>
    <w:rsid w:val="5F4D5F3D"/>
    <w:rsid w:val="5F753293"/>
    <w:rsid w:val="5F813FB4"/>
    <w:rsid w:val="5F9D6160"/>
    <w:rsid w:val="5FA625F8"/>
    <w:rsid w:val="5FA74CDE"/>
    <w:rsid w:val="5FC83D90"/>
    <w:rsid w:val="5FD906B1"/>
    <w:rsid w:val="60157F0E"/>
    <w:rsid w:val="604D4E53"/>
    <w:rsid w:val="604E3B3C"/>
    <w:rsid w:val="60523854"/>
    <w:rsid w:val="606E557C"/>
    <w:rsid w:val="608A7AD1"/>
    <w:rsid w:val="609F4138"/>
    <w:rsid w:val="60B05DA4"/>
    <w:rsid w:val="60C522F4"/>
    <w:rsid w:val="60F67612"/>
    <w:rsid w:val="60F91023"/>
    <w:rsid w:val="60F96B19"/>
    <w:rsid w:val="610F01AA"/>
    <w:rsid w:val="61186932"/>
    <w:rsid w:val="6172326B"/>
    <w:rsid w:val="61A0746E"/>
    <w:rsid w:val="61BA08FF"/>
    <w:rsid w:val="61BC3A05"/>
    <w:rsid w:val="61E814D1"/>
    <w:rsid w:val="61ED3F96"/>
    <w:rsid w:val="62034539"/>
    <w:rsid w:val="62480CD2"/>
    <w:rsid w:val="625271C5"/>
    <w:rsid w:val="628778FD"/>
    <w:rsid w:val="6298317C"/>
    <w:rsid w:val="62A819FC"/>
    <w:rsid w:val="631179B8"/>
    <w:rsid w:val="631F64C6"/>
    <w:rsid w:val="633B3162"/>
    <w:rsid w:val="63480A56"/>
    <w:rsid w:val="637D7119"/>
    <w:rsid w:val="637F1910"/>
    <w:rsid w:val="63B5059C"/>
    <w:rsid w:val="63EE589C"/>
    <w:rsid w:val="63FB4DA5"/>
    <w:rsid w:val="63FE2674"/>
    <w:rsid w:val="6419593D"/>
    <w:rsid w:val="641F5B3D"/>
    <w:rsid w:val="642F297C"/>
    <w:rsid w:val="64BE0803"/>
    <w:rsid w:val="64DE5FDC"/>
    <w:rsid w:val="65194DB1"/>
    <w:rsid w:val="652F2992"/>
    <w:rsid w:val="65333588"/>
    <w:rsid w:val="65390BC8"/>
    <w:rsid w:val="657C5654"/>
    <w:rsid w:val="657F0B71"/>
    <w:rsid w:val="658771DE"/>
    <w:rsid w:val="65B26923"/>
    <w:rsid w:val="65BA7764"/>
    <w:rsid w:val="65C15B6B"/>
    <w:rsid w:val="65F400C6"/>
    <w:rsid w:val="66076538"/>
    <w:rsid w:val="66440F86"/>
    <w:rsid w:val="66615C35"/>
    <w:rsid w:val="66E6079A"/>
    <w:rsid w:val="670B2782"/>
    <w:rsid w:val="670D2828"/>
    <w:rsid w:val="672D5701"/>
    <w:rsid w:val="672E5ED8"/>
    <w:rsid w:val="6739782C"/>
    <w:rsid w:val="6792360B"/>
    <w:rsid w:val="67BE2A1F"/>
    <w:rsid w:val="67D8115D"/>
    <w:rsid w:val="68103D21"/>
    <w:rsid w:val="681558F8"/>
    <w:rsid w:val="682409B3"/>
    <w:rsid w:val="683E50DD"/>
    <w:rsid w:val="689064B8"/>
    <w:rsid w:val="68CE2A83"/>
    <w:rsid w:val="68FF1FDD"/>
    <w:rsid w:val="69203ACC"/>
    <w:rsid w:val="694D6270"/>
    <w:rsid w:val="69775866"/>
    <w:rsid w:val="69822D0A"/>
    <w:rsid w:val="698611F3"/>
    <w:rsid w:val="698719E7"/>
    <w:rsid w:val="6992130D"/>
    <w:rsid w:val="699F3FEA"/>
    <w:rsid w:val="69C04ABB"/>
    <w:rsid w:val="69DF40EB"/>
    <w:rsid w:val="69E32E3C"/>
    <w:rsid w:val="69E4755F"/>
    <w:rsid w:val="6A1914BA"/>
    <w:rsid w:val="6A2F5934"/>
    <w:rsid w:val="6A495850"/>
    <w:rsid w:val="6A7D6AC8"/>
    <w:rsid w:val="6A935322"/>
    <w:rsid w:val="6AB340D9"/>
    <w:rsid w:val="6ACD27D0"/>
    <w:rsid w:val="6ACE4D37"/>
    <w:rsid w:val="6AEE755B"/>
    <w:rsid w:val="6B647647"/>
    <w:rsid w:val="6B736C43"/>
    <w:rsid w:val="6B874C39"/>
    <w:rsid w:val="6B9C4A79"/>
    <w:rsid w:val="6B9C67C3"/>
    <w:rsid w:val="6BA975C5"/>
    <w:rsid w:val="6BEC6347"/>
    <w:rsid w:val="6C1B0549"/>
    <w:rsid w:val="6C534188"/>
    <w:rsid w:val="6C884678"/>
    <w:rsid w:val="6CD3048F"/>
    <w:rsid w:val="6CD47433"/>
    <w:rsid w:val="6CD535DE"/>
    <w:rsid w:val="6CD55628"/>
    <w:rsid w:val="6CED7E6B"/>
    <w:rsid w:val="6D357120"/>
    <w:rsid w:val="6D3A0978"/>
    <w:rsid w:val="6D4B40C0"/>
    <w:rsid w:val="6D690C16"/>
    <w:rsid w:val="6D6F56D1"/>
    <w:rsid w:val="6DB874DF"/>
    <w:rsid w:val="6DBA4F57"/>
    <w:rsid w:val="6DD022CE"/>
    <w:rsid w:val="6E1877DD"/>
    <w:rsid w:val="6E295640"/>
    <w:rsid w:val="6E3C0450"/>
    <w:rsid w:val="6E550BFA"/>
    <w:rsid w:val="6EC82FBB"/>
    <w:rsid w:val="6EED18CD"/>
    <w:rsid w:val="6F3908D4"/>
    <w:rsid w:val="6F4109CE"/>
    <w:rsid w:val="6F4C61C4"/>
    <w:rsid w:val="6F8B19BE"/>
    <w:rsid w:val="6FAE3061"/>
    <w:rsid w:val="6FBF2D71"/>
    <w:rsid w:val="6FD31067"/>
    <w:rsid w:val="6FDD1809"/>
    <w:rsid w:val="6FE40A75"/>
    <w:rsid w:val="6FE96556"/>
    <w:rsid w:val="70222423"/>
    <w:rsid w:val="70251095"/>
    <w:rsid w:val="703749DF"/>
    <w:rsid w:val="70594BAA"/>
    <w:rsid w:val="70E978BC"/>
    <w:rsid w:val="70F2045B"/>
    <w:rsid w:val="71084330"/>
    <w:rsid w:val="71093547"/>
    <w:rsid w:val="713622F4"/>
    <w:rsid w:val="716E0274"/>
    <w:rsid w:val="71B5615E"/>
    <w:rsid w:val="71C27DBB"/>
    <w:rsid w:val="723A65F1"/>
    <w:rsid w:val="72617A45"/>
    <w:rsid w:val="727A5C94"/>
    <w:rsid w:val="72950866"/>
    <w:rsid w:val="72AA0C95"/>
    <w:rsid w:val="72B314F6"/>
    <w:rsid w:val="72BB5EEE"/>
    <w:rsid w:val="72D967C4"/>
    <w:rsid w:val="73207F98"/>
    <w:rsid w:val="73255C15"/>
    <w:rsid w:val="732E60FC"/>
    <w:rsid w:val="73654216"/>
    <w:rsid w:val="737C15E7"/>
    <w:rsid w:val="7396760B"/>
    <w:rsid w:val="73A56C56"/>
    <w:rsid w:val="73D33EF5"/>
    <w:rsid w:val="73E05013"/>
    <w:rsid w:val="73EF024F"/>
    <w:rsid w:val="740C4E59"/>
    <w:rsid w:val="744335D7"/>
    <w:rsid w:val="74567D3E"/>
    <w:rsid w:val="74905FB3"/>
    <w:rsid w:val="74966354"/>
    <w:rsid w:val="74A1661A"/>
    <w:rsid w:val="74C111F6"/>
    <w:rsid w:val="74E03A4B"/>
    <w:rsid w:val="74FC3AC4"/>
    <w:rsid w:val="75100D14"/>
    <w:rsid w:val="751B0501"/>
    <w:rsid w:val="752F30C8"/>
    <w:rsid w:val="755D7996"/>
    <w:rsid w:val="75626B88"/>
    <w:rsid w:val="75635C3C"/>
    <w:rsid w:val="75701B13"/>
    <w:rsid w:val="75784475"/>
    <w:rsid w:val="75A17CA1"/>
    <w:rsid w:val="75A6686D"/>
    <w:rsid w:val="75B708C9"/>
    <w:rsid w:val="75C444B4"/>
    <w:rsid w:val="761339E3"/>
    <w:rsid w:val="76294902"/>
    <w:rsid w:val="763900A2"/>
    <w:rsid w:val="76496D2D"/>
    <w:rsid w:val="767E6C03"/>
    <w:rsid w:val="76D16F69"/>
    <w:rsid w:val="76D432EF"/>
    <w:rsid w:val="76DA7DDF"/>
    <w:rsid w:val="76DF50E1"/>
    <w:rsid w:val="76F30378"/>
    <w:rsid w:val="77083349"/>
    <w:rsid w:val="77105C29"/>
    <w:rsid w:val="774B3241"/>
    <w:rsid w:val="77506E06"/>
    <w:rsid w:val="77667C2A"/>
    <w:rsid w:val="78051352"/>
    <w:rsid w:val="781265AD"/>
    <w:rsid w:val="783D21CE"/>
    <w:rsid w:val="78453EA9"/>
    <w:rsid w:val="78592431"/>
    <w:rsid w:val="786D6001"/>
    <w:rsid w:val="7871757F"/>
    <w:rsid w:val="788A7574"/>
    <w:rsid w:val="789B3E94"/>
    <w:rsid w:val="78C66C81"/>
    <w:rsid w:val="79062C4E"/>
    <w:rsid w:val="79354590"/>
    <w:rsid w:val="794569C4"/>
    <w:rsid w:val="79504EAC"/>
    <w:rsid w:val="79535D7E"/>
    <w:rsid w:val="79647B21"/>
    <w:rsid w:val="79BC5292"/>
    <w:rsid w:val="79C64480"/>
    <w:rsid w:val="7A0868CA"/>
    <w:rsid w:val="7A660F97"/>
    <w:rsid w:val="7AAA0AE2"/>
    <w:rsid w:val="7AD94A8C"/>
    <w:rsid w:val="7B2E33E6"/>
    <w:rsid w:val="7B34351C"/>
    <w:rsid w:val="7B54390E"/>
    <w:rsid w:val="7B657BE8"/>
    <w:rsid w:val="7B8F5234"/>
    <w:rsid w:val="7B9D712F"/>
    <w:rsid w:val="7BD0514B"/>
    <w:rsid w:val="7BD46C55"/>
    <w:rsid w:val="7C020026"/>
    <w:rsid w:val="7C215EF5"/>
    <w:rsid w:val="7C254D3D"/>
    <w:rsid w:val="7C820F71"/>
    <w:rsid w:val="7C992D9E"/>
    <w:rsid w:val="7CBF00CC"/>
    <w:rsid w:val="7CDD416F"/>
    <w:rsid w:val="7D090A2A"/>
    <w:rsid w:val="7D420B4A"/>
    <w:rsid w:val="7D514B49"/>
    <w:rsid w:val="7D723941"/>
    <w:rsid w:val="7D84505D"/>
    <w:rsid w:val="7E08568B"/>
    <w:rsid w:val="7E445010"/>
    <w:rsid w:val="7E5E3BE4"/>
    <w:rsid w:val="7E7200CC"/>
    <w:rsid w:val="7EA514C9"/>
    <w:rsid w:val="7EDF4D2A"/>
    <w:rsid w:val="7EE25807"/>
    <w:rsid w:val="7F055E40"/>
    <w:rsid w:val="7F6B05DF"/>
    <w:rsid w:val="7F9C2B85"/>
    <w:rsid w:val="7FB14FF4"/>
    <w:rsid w:val="7FC40E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正文文本 字符"/>
    <w:link w:val="2"/>
    <w:qFormat/>
    <w:uiPriority w:val="1"/>
    <w:rPr>
      <w:rFonts w:ascii="宋体" w:hAnsi="Times New Roman" w:eastAsia="宋体" w:cs="宋体"/>
      <w:kern w:val="0"/>
      <w:szCs w:val="21"/>
    </w:rPr>
  </w:style>
  <w:style w:type="character" w:customStyle="1" w:styleId="23">
    <w:name w:val="标题 1 字符"/>
    <w:link w:val="3"/>
    <w:qFormat/>
    <w:uiPriority w:val="1"/>
    <w:rPr>
      <w:rFonts w:ascii="黑体" w:hAnsi="Times New Roman" w:eastAsia="黑体" w:cs="黑体"/>
      <w:b/>
      <w:bCs/>
      <w:kern w:val="0"/>
      <w:sz w:val="36"/>
      <w:szCs w:val="36"/>
    </w:rPr>
  </w:style>
  <w:style w:type="character" w:customStyle="1" w:styleId="24">
    <w:name w:val="标题 2 字符"/>
    <w:link w:val="4"/>
    <w:uiPriority w:val="9"/>
    <w:rPr>
      <w:rFonts w:ascii="Cambria" w:hAnsi="Cambria" w:eastAsia="宋体" w:cs="Times New Roman"/>
      <w:b/>
      <w:bCs/>
      <w:sz w:val="32"/>
      <w:szCs w:val="32"/>
    </w:rPr>
  </w:style>
  <w:style w:type="character" w:customStyle="1" w:styleId="25">
    <w:name w:val="标题 3 字符"/>
    <w:link w:val="5"/>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24986</Words>
  <Characters>26214</Characters>
  <Lines>154</Lines>
  <Paragraphs>43</Paragraphs>
  <TotalTime>0</TotalTime>
  <ScaleCrop>false</ScaleCrop>
  <LinksUpToDate>false</LinksUpToDate>
  <CharactersWithSpaces>26234</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2025-08-28T07:26:01Z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91C7F3AD58C947F78658CA4B203647A9</vt:lpwstr>
  </property>
</Properties>
</file>