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个人投资者</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172.55pt;width:227.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bookmarkStart w:id="0" w:name="_GoBack"/>
      <w:bookmarkEnd w:id="0"/>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机构投资者</w:t>
      </w:r>
    </w:p>
    <w:p>
      <w:pPr>
        <w:autoSpaceDE w:val="0"/>
        <w:autoSpaceDN w:val="0"/>
        <w:adjustRightInd w:val="0"/>
        <w:ind w:firstLine="420"/>
        <w:jc w:val="center"/>
        <w:rPr>
          <w:rFonts w:hint="eastAsia" w:ascii="楷体" w:hAnsi="楷体" w:eastAsia="楷体" w:cs="浠垮畫"/>
          <w:kern w:val="0"/>
          <w:sz w:val="21"/>
          <w:szCs w:val="21"/>
        </w:rPr>
      </w:pPr>
      <w:r>
        <w:rPr>
          <w:sz w:val="21"/>
          <w:szCs w:val="21"/>
        </w:rPr>
        <w:object>
          <v:shape id="_x0000_i1026" o:spt="75" type="#_x0000_t75" style="height:182.75pt;width:207.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（三）个人投资者风险承受能力评估流程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7" o:spt="75" type="#_x0000_t75" style="height:110.5pt;width:230.2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应确保个人投资者的风险承受能力等级不低于本产品风险评级。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（六）机构投资者购买理财产品前无需进行风险评估能力测试。</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8F67B9"/>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CBE5993"/>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DF4FDA"/>
    <w:rsid w:val="465E26CD"/>
    <w:rsid w:val="46996AFD"/>
    <w:rsid w:val="47665A62"/>
    <w:rsid w:val="4A120FE1"/>
    <w:rsid w:val="4A9D0981"/>
    <w:rsid w:val="4DB908E0"/>
    <w:rsid w:val="4DEA38AC"/>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qFormat/>
    <w:uiPriority w:val="99"/>
    <w:rPr>
      <w:kern w:val="2"/>
      <w:sz w:val="18"/>
      <w:szCs w:val="18"/>
    </w:rPr>
  </w:style>
  <w:style w:type="character" w:customStyle="1" w:styleId="22">
    <w:name w:val="正文文本 字符"/>
    <w:link w:val="6"/>
    <w:qFormat/>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2</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2025-10-21T02:57:13Z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0B7D74BBD82943A6B7A8820DF0F84390</vt:lpwstr>
  </property>
</Properties>
</file>