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北银理财京华远见春系列卓远固收封闭式144号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4"/>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北银理财京华远见春系列卓远固收封闭式144号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4"/>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本理财产品份额的单位净值，即每1份理财产品份额以人民币计价的价格。理财产品单位净值=当日产品资产净值/当日产品份额总额，单位净值保留至小数点后六位（舍位法），小数点后第七位及之后数值舍去（不进行四舍五入）。</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2026年3月25日（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4"/>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0" w:type="auto"/>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北银理财京华远见春系列卓远固收封闭式144号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卓远固收封闭式144号A类份额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auto"/>
                <w:sz w:val="24"/>
                <w:highlight w:val="none"/>
                <w:lang w:val="en-US" w:eastAsia="zh-CN"/>
              </w:rPr>
              <w:t>YJ01250724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lang w:val="en-US" w:eastAsia="zh-CN"/>
              </w:rPr>
              <w:t>YJ01250724A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hint="eastAsia" w:ascii="楷体_GB2312" w:hAnsi="宋体" w:eastAsia="楷体_GB2312" w:cs="Times New Roman"/>
                <w:color w:val="auto"/>
                <w:sz w:val="24"/>
                <w:highlight w:val="none"/>
                <w:lang w:val="en-US" w:eastAsia="zh-CN"/>
              </w:rPr>
              <w:t>Z7008925000461</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威海银行股份有限公司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b/>
                <w:bCs/>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eastAsia="楷体_GB2312"/>
                <w:bCs/>
                <w:color w:val="auto"/>
                <w:sz w:val="24"/>
                <w:highlight w:val="none"/>
                <w:lang w:val="en-US" w:eastAsia="zh-CN"/>
              </w:rPr>
              <w:t>2025年10月30日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eastAsia="楷体_GB2312"/>
                <w:bCs/>
                <w:color w:val="auto"/>
                <w:sz w:val="24"/>
                <w:highlight w:val="none"/>
                <w:lang w:val="en-US" w:eastAsia="zh-CN"/>
              </w:rPr>
              <w:t>2025年11月5日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eastAsia="楷体_GB2312"/>
                <w:bCs/>
                <w:color w:val="auto"/>
                <w:sz w:val="24"/>
                <w:highlight w:val="none"/>
                <w:lang w:val="en-US" w:eastAsia="zh-CN"/>
              </w:rPr>
              <w:t>2025年11月6日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2026年3月25日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139天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p>
            <w:pPr>
              <w:snapToGrid w:val="0"/>
              <w:rPr>
                <w:rFonts w:ascii="楷体_GB2312" w:eastAsia="楷体_GB2312"/>
                <w:bCs/>
                <w:color w:val="auto"/>
                <w:sz w:val="24"/>
                <w:highlight w:val="none"/>
              </w:rPr>
            </w:pPr>
            <w:r>
              <w:rPr>
                <w:rFonts w:hint="eastAsia" w:ascii="楷体_GB2312" w:eastAsia="楷体_GB2312"/>
                <w:bCs/>
                <w:color w:val="auto"/>
                <w:sz w:val="24"/>
                <w:highlight w:val="none"/>
              </w:rPr>
              <w:t>★如销售机构另有要求的，实际投资起点金额及递增金额应当以销售机构展示/提示为准，但不得低于本理财产品销售文件约定的投资起点金额及递增金额。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本理财产品募集规模上限为：6亿元。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hAnsi="宋体" w:eastAsia="楷体_GB2312"/>
                <w:color w:val="000000"/>
                <w:sz w:val="24"/>
              </w:rPr>
              <w:t>业绩比较基准为</w:t>
            </w:r>
            <w:r>
              <w:rPr>
                <w:rFonts w:hint="eastAsia" w:ascii="楷体_GB2312" w:eastAsia="楷体_GB2312"/>
                <w:bCs/>
                <w:color w:val="auto"/>
                <w:sz w:val="24"/>
                <w:highlight w:val="none"/>
                <w:lang w:val="en-US" w:eastAsia="zh-CN"/>
              </w:rPr>
              <w:t>1.90%-2.10%</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0.20%/年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lang w:val="en-US" w:eastAsia="zh-CN"/>
              </w:rPr>
              <w:t>0.10%/年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产品管理人根据理财投资情况计算超额业绩报酬，由产品管理人确定本理财产品的业绩比较基准，超过业绩比较基准区间上限的部分产品管理人提取80%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eastAsia="楷体_GB2312"/>
          <w:bCs/>
          <w:color w:val="auto"/>
          <w:sz w:val="24"/>
          <w:highlight w:val="none"/>
          <w:lang w:val="en-US" w:eastAsia="zh-CN"/>
        </w:rPr>
        <w:t>A类份额</w:t>
      </w:r>
      <w:r>
        <w:rPr>
          <w:rFonts w:hint="eastAsia" w:ascii="楷体_GB2312" w:hAnsi="宋体" w:eastAsia="楷体_GB2312"/>
          <w:color w:val="000000"/>
          <w:sz w:val="24"/>
        </w:rPr>
        <w:t>的投资起点为人民币1元，并以0.01元为单位递增。</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★如销售机构另有要求的，实际投资起点金额及递增金额应当以销售机构展示/提示为准，但不得低于本理财产品销售文件约定的投资起点金额及递增金额。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1.在本理财产品终止日，产品管理人将对终止日前一个工作日估值后各类份额（如有）的产品资产净值按照投资者持有份额比例对投资者进行分配。</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投资者最后分配金额=∑投资者持有该类份额比例×产品存续期末该类份额的资产净值。</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投资者持有该类份额比例=投资者持有该类份额÷产品该类份额总份额。</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2.自本理财产品终止日（不含）至投资者理财本金及收益到账日（含）之间为本理财产品的清算期。清算期原则上不得超过5个工作日，清算期超过5个工作日的，本理财产品终止日前，产品管理人将提前1个工作日通过本理财产品销售文件约定的信息披露渠道发布相关信息公告通知投资者。本理财产品进入清算期后不再计算投资者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w:t>
      </w:r>
      <w:r>
        <w:rPr>
          <w:rFonts w:hint="eastAsia" w:ascii="楷体_GB2312" w:hAnsi="宋体" w:eastAsia="楷体_GB2312" w:cs="Times New Roman"/>
          <w:color w:val="000000"/>
          <w:sz w:val="24"/>
          <w:highlight w:val="none"/>
          <w:lang w:val="en-US" w:eastAsia="zh-CN"/>
        </w:rPr>
        <w:t>区间上限</w:t>
      </w:r>
      <w:r>
        <w:rPr>
          <w:rFonts w:hint="eastAsia" w:ascii="楷体_GB2312" w:hAnsi="宋体" w:eastAsia="楷体_GB2312" w:cs="Times New Roman"/>
          <w:color w:val="000000"/>
          <w:sz w:val="24"/>
          <w:highlight w:val="none"/>
        </w:rPr>
        <w:t>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5"/>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hint="eastAsia" w:ascii="楷体_GB2312" w:hAnsi="宋体" w:eastAsia="楷体_GB2312"/>
          <w:color w:val="000000"/>
          <w:sz w:val="24"/>
          <w:highlight w:val="none"/>
        </w:rPr>
        <w:t>本理财产品的信息披露渠道为代销机构电子渠道、北银理财有限责任公司官方网站、中国理财网或监管机构认可的其他公开渠道，投资者可通过上述渠道查询本理财产品相关信息，在保障投资者知情权的前提下，产品管理人保留变更信息披露渠道的权利。相关信息自公告之日即视为已送达投资者且产品管理人已适当履行其信息披露义务。</w:t>
      </w:r>
      <w:r>
        <w:rPr>
          <w:rFonts w:hint="eastAsia" w:ascii="楷体_GB2312" w:hAnsi="宋体" w:eastAsia="楷体_GB2312"/>
          <w:b/>
          <w:bCs/>
          <w:color w:val="000000"/>
          <w:sz w:val="24"/>
          <w:highlight w:val="none"/>
        </w:rPr>
        <w:t>如投资者未适时查询，或由于不可抗力及/或意外事件的影响使得投资者无法了解本理财产品信息，并由此影响投资者的投资决策，因此而产生责任和风险由投资者自行承担</w:t>
      </w:r>
      <w:r>
        <w:rPr>
          <w:rFonts w:hint="eastAsia" w:ascii="楷体_GB2312" w:hAnsi="宋体" w:eastAsia="楷体_GB2312"/>
          <w:b/>
          <w:bCs/>
          <w:color w:val="000000"/>
          <w:sz w:val="24"/>
          <w:highlight w:val="none"/>
          <w:lang w:eastAsia="zh-CN"/>
        </w:rPr>
        <w:t>。</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1" w:name="_Hlk146059360"/>
      <w:r>
        <w:rPr>
          <w:rFonts w:hint="eastAsia" w:ascii="楷体_GB2312" w:hAnsi="宋体" w:eastAsia="楷体_GB2312"/>
          <w:color w:val="000000"/>
          <w:sz w:val="24"/>
          <w:highlight w:val="none"/>
        </w:rPr>
        <w:t>法律法规规定、</w:t>
      </w:r>
      <w:bookmarkEnd w:id="1"/>
      <w:r>
        <w:rPr>
          <w:rFonts w:hint="eastAsia" w:ascii="楷体_GB2312" w:hAnsi="宋体" w:eastAsia="楷体_GB2312"/>
          <w:color w:val="000000"/>
          <w:sz w:val="24"/>
          <w:highlight w:val="none"/>
        </w:rPr>
        <w:t>国务院银行业监督管理机构规定</w:t>
      </w:r>
      <w:bookmarkStart w:id="2"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2"/>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eastAsia="楷体_GB2312"/>
          <w:bCs/>
          <w:color w:val="auto"/>
          <w:sz w:val="24"/>
          <w:highlight w:val="none"/>
          <w:lang w:val="en-US" w:eastAsia="zh-CN"/>
        </w:rPr>
        <w:t>A类份额</w:t>
      </w: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威海银行股份有限公司</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法定代表人：孟东晓</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注册地址：山东省威海市环翠区青岛北路137A号威海市商业银行数字金融中心</w:t>
      </w:r>
    </w:p>
    <w:p>
      <w:pPr>
        <w:ind w:firstLine="480" w:firstLineChars="200"/>
        <w:rPr>
          <w:rFonts w:hint="default" w:ascii="楷体_GB2312" w:hAnsi="宋体" w:eastAsia="楷体_GB2312"/>
          <w:color w:val="000000"/>
          <w:sz w:val="24"/>
          <w:lang w:val="en-US"/>
        </w:rPr>
      </w:pPr>
      <w:r>
        <w:rPr>
          <w:rFonts w:hint="eastAsia" w:ascii="楷体_GB2312" w:hAnsi="宋体" w:eastAsia="楷体_GB2312"/>
          <w:color w:val="000000"/>
          <w:sz w:val="24"/>
          <w:lang w:val="en-US" w:eastAsia="zh-CN"/>
        </w:rPr>
        <w:t>服务热线：96636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3" w:name="_Hlk146059378"/>
      <w:r>
        <w:rPr>
          <w:rFonts w:hint="eastAsia" w:ascii="楷体_GB2312" w:hAnsi="宋体" w:eastAsia="楷体_GB2312"/>
          <w:color w:val="000000"/>
          <w:sz w:val="24"/>
          <w:highlight w:val="none"/>
        </w:rPr>
        <w:t>、国务院银行业监督管理机构规定</w:t>
      </w:r>
      <w:bookmarkEnd w:id="3"/>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9943DB"/>
    <w:rsid w:val="64994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qFormat/>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2025-10-29T08:08:00Z</dcterms:created>
  <dc:creator>Lenovo</dc:creator>
  <cp:lastModifiedBy>Lenovo</cp:lastModifiedBy>
  <dcterms:modified xsi:type="dcterms:W3CDTF">2025-10-29T08:08:42Z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778EE400E0DA40D291CA2645AEF1CD67</vt:lpwstr>
  </property>
</Properties>
</file>