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基金产品和服务信息披露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投资人在投资基金前应认真阅读《基金合同》、《招募说明书》等基金法律文件，选择与自身风险承受能力相适应的基金。</w:t>
      </w:r>
      <w:r>
        <w:rPr>
          <w:rFonts w:hint="eastAsia" w:ascii="宋体" w:hAnsi="宋体" w:eastAsia="宋体" w:cs="宋体"/>
          <w:sz w:val="32"/>
          <w:szCs w:val="32"/>
        </w:rPr>
        <w:t>根据《商业银行代理销售管理办法》第三十三条规定，我行已在手机银行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</w:rPr>
        <w:t>网银等渠道展示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产品详情、资料概要、基金合同等内容，</w:t>
      </w:r>
      <w:r>
        <w:rPr>
          <w:rFonts w:hint="eastAsia" w:ascii="宋体" w:hAnsi="宋体" w:eastAsia="宋体" w:cs="宋体"/>
          <w:sz w:val="32"/>
          <w:szCs w:val="32"/>
        </w:rPr>
        <w:t>全面、客观解释代销产品风险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以下为代销基金产品资料查询路径：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手机银行：手机银行首页-基金业务-基金产品页面下方风险提示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网上银行：网上银行首页-财富-基金-基金超市-基金产品页面下方风险提示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7A4EAA"/>
    <w:rsid w:val="3B5D710E"/>
    <w:rsid w:val="552D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Office_11.1.0.7764_F1E327BC-269C-435d-A152-05C5408002CA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2026-09-20T07:14:00Z</dcterms:created>
  <dc:creator>Administrator</dc:creator>
  <cp:lastModifiedBy>Administrator</cp:lastModifiedBy>
  <dcterms:modified xsi:type="dcterms:W3CDTF">2026-09-20T07:49:46Z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2052-11.1.0.7764</vt:lpwstr>
  </property>
</Properties>
</file>